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483227223"/>
      <w:bookmarkStart w:id="1" w:name="_Toc482717189"/>
      <w:bookmarkStart w:id="2" w:name="_Toc484532399"/>
      <w:bookmarkStart w:id="3" w:name="_Toc483666358"/>
      <w:bookmarkStart w:id="4" w:name="_Toc483400307"/>
    </w:p>
    <w:p>
      <w:pPr>
        <w:spacing w:after="158" w:afterLines="50"/>
        <w:jc w:val="center"/>
        <w:rPr>
          <w:b/>
          <w:szCs w:val="21"/>
          <w:lang w:eastAsia="zh-CN"/>
        </w:rPr>
      </w:pPr>
      <w:permStart w:id="0" w:edGrp="everyone"/>
      <w:r>
        <w:rPr>
          <w:rFonts w:hint="eastAsia"/>
          <w:b/>
          <w:sz w:val="28"/>
          <w:szCs w:val="28"/>
          <w:lang w:val="en-US" w:eastAsia="zh-CN"/>
        </w:rPr>
        <w:t>联合疫苗楼百日咳疫苗原液车间蠕动泵</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4"/>
        <w:keepNext w:val="0"/>
        <w:keepLines w:val="0"/>
        <w:widowControl w:val="0"/>
        <w:spacing w:after="158" w:afterLines="50" w:line="240" w:lineRule="auto"/>
        <w:jc w:val="center"/>
        <w:rPr>
          <w:sz w:val="21"/>
          <w:szCs w:val="21"/>
          <w:lang w:val="zh-CN" w:eastAsia="zh-CN"/>
        </w:rPr>
      </w:pPr>
      <w:permStart w:id="1" w:edGrp="everyone"/>
      <w:permEnd w:id="1"/>
      <w:bookmarkStart w:id="5" w:name="OLE_LINK4"/>
      <w:bookmarkEnd w:id="5"/>
      <w:r>
        <w:rPr>
          <w:sz w:val="21"/>
          <w:szCs w:val="21"/>
          <w:lang w:val="zh-CN" w:eastAsia="zh-CN"/>
        </w:rPr>
        <w:t xml:space="preserve">目录 </w:t>
      </w:r>
    </w:p>
    <w:p>
      <w:pPr>
        <w:pStyle w:val="15"/>
        <w:rPr>
          <w:b w:val="0"/>
          <w:bCs w:val="0"/>
          <w:caps w:val="0"/>
          <w:szCs w:val="22"/>
        </w:rPr>
      </w:pPr>
      <w:permStart w:id="2" w:edGrp="everyone"/>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4"/>
        </w:rPr>
        <w:t>修订历史</w:t>
      </w:r>
      <w:r>
        <w:tab/>
      </w:r>
      <w:r>
        <w:fldChar w:fldCharType="begin"/>
      </w:r>
      <w:r>
        <w:instrText xml:space="preserve"> PAGEREF _Toc522716114 \h </w:instrText>
      </w:r>
      <w:r>
        <w:fldChar w:fldCharType="separate"/>
      </w:r>
      <w:r>
        <w:t>3</w:t>
      </w:r>
      <w:r>
        <w:fldChar w:fldCharType="end"/>
      </w:r>
      <w:r>
        <w:fldChar w:fldCharType="end"/>
      </w:r>
    </w:p>
    <w:p>
      <w:pPr>
        <w:pStyle w:val="15"/>
        <w:rPr>
          <w:b w:val="0"/>
          <w:bCs w:val="0"/>
          <w:caps w:val="0"/>
          <w:szCs w:val="22"/>
        </w:rPr>
      </w:pPr>
      <w:r>
        <w:fldChar w:fldCharType="begin"/>
      </w:r>
      <w:r>
        <w:instrText xml:space="preserve"> HYPERLINK \l "_Toc522716115" </w:instrText>
      </w:r>
      <w:r>
        <w:fldChar w:fldCharType="separate"/>
      </w:r>
      <w:r>
        <w:rPr>
          <w:rStyle w:val="24"/>
        </w:rPr>
        <w:t>1</w:t>
      </w:r>
      <w:r>
        <w:rPr>
          <w:b w:val="0"/>
          <w:bCs w:val="0"/>
          <w:caps w:val="0"/>
          <w:szCs w:val="22"/>
        </w:rPr>
        <w:tab/>
      </w:r>
      <w:r>
        <w:rPr>
          <w:rStyle w:val="24"/>
        </w:rPr>
        <w:t>目的</w:t>
      </w:r>
      <w:r>
        <w:tab/>
      </w:r>
      <w:r>
        <w:fldChar w:fldCharType="begin"/>
      </w:r>
      <w:r>
        <w:instrText xml:space="preserve"> PAGEREF _Toc522716115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"_Toc522716116" </w:instrText>
      </w:r>
      <w:r>
        <w:fldChar w:fldCharType="separate"/>
      </w:r>
      <w:r>
        <w:rPr>
          <w:rStyle w:val="24"/>
        </w:rPr>
        <w:t>2</w:t>
      </w:r>
      <w:r>
        <w:rPr>
          <w:b w:val="0"/>
          <w:bCs w:val="0"/>
          <w:caps w:val="0"/>
          <w:szCs w:val="22"/>
        </w:rPr>
        <w:tab/>
      </w:r>
      <w:r>
        <w:rPr>
          <w:rStyle w:val="24"/>
        </w:rPr>
        <w:t>范围</w:t>
      </w:r>
      <w:r>
        <w:tab/>
      </w:r>
      <w:r>
        <w:fldChar w:fldCharType="begin"/>
      </w:r>
      <w:r>
        <w:instrText xml:space="preserve"> PAGEREF _Toc522716116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"_Toc522716117" </w:instrText>
      </w:r>
      <w:r>
        <w:fldChar w:fldCharType="separate"/>
      </w:r>
      <w:r>
        <w:rPr>
          <w:rStyle w:val="24"/>
        </w:rPr>
        <w:t>3</w:t>
      </w:r>
      <w:r>
        <w:rPr>
          <w:b w:val="0"/>
          <w:bCs w:val="0"/>
          <w:caps w:val="0"/>
          <w:szCs w:val="22"/>
        </w:rPr>
        <w:tab/>
      </w:r>
      <w:r>
        <w:rPr>
          <w:rStyle w:val="24"/>
        </w:rPr>
        <w:t>参考文件</w:t>
      </w:r>
      <w:r>
        <w:tab/>
      </w:r>
      <w:r>
        <w:fldChar w:fldCharType="begin"/>
      </w:r>
      <w:r>
        <w:instrText xml:space="preserve"> PAGEREF _Toc522716117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"_Toc522716118" </w:instrText>
      </w:r>
      <w:r>
        <w:fldChar w:fldCharType="separate"/>
      </w:r>
      <w:r>
        <w:rPr>
          <w:rStyle w:val="24"/>
        </w:rPr>
        <w:t>4</w:t>
      </w:r>
      <w:r>
        <w:rPr>
          <w:b w:val="0"/>
          <w:bCs w:val="0"/>
          <w:caps w:val="0"/>
          <w:szCs w:val="22"/>
        </w:rPr>
        <w:tab/>
      </w:r>
      <w:r>
        <w:rPr>
          <w:rStyle w:val="24"/>
        </w:rPr>
        <w:t>职责</w:t>
      </w:r>
      <w:r>
        <w:tab/>
      </w:r>
      <w:r>
        <w:fldChar w:fldCharType="begin"/>
      </w:r>
      <w:r>
        <w:instrText xml:space="preserve"> PAGEREF _Toc522716118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"_Toc522716119" </w:instrText>
      </w:r>
      <w:r>
        <w:fldChar w:fldCharType="separate"/>
      </w:r>
      <w:r>
        <w:rPr>
          <w:rStyle w:val="24"/>
        </w:rPr>
        <w:t>5</w:t>
      </w:r>
      <w:r>
        <w:rPr>
          <w:b w:val="0"/>
          <w:bCs w:val="0"/>
          <w:caps w:val="0"/>
          <w:szCs w:val="22"/>
        </w:rPr>
        <w:tab/>
      </w:r>
      <w:r>
        <w:rPr>
          <w:rStyle w:val="24"/>
        </w:rPr>
        <w:t>系统描述</w:t>
      </w:r>
      <w:r>
        <w:tab/>
      </w:r>
      <w:r>
        <w:fldChar w:fldCharType="begin"/>
      </w:r>
      <w:r>
        <w:instrText xml:space="preserve"> PAGEREF _Toc522716119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"_Toc522716120" </w:instrText>
      </w:r>
      <w:r>
        <w:fldChar w:fldCharType="separate"/>
      </w:r>
      <w:r>
        <w:rPr>
          <w:rStyle w:val="24"/>
        </w:rPr>
        <w:t>6</w:t>
      </w:r>
      <w:r>
        <w:rPr>
          <w:b w:val="0"/>
          <w:bCs w:val="0"/>
          <w:caps w:val="0"/>
          <w:szCs w:val="22"/>
        </w:rPr>
        <w:tab/>
      </w:r>
      <w:r>
        <w:rPr>
          <w:rStyle w:val="24"/>
        </w:rPr>
        <w:t>安装要求</w:t>
      </w:r>
      <w:r>
        <w:tab/>
      </w:r>
      <w:r>
        <w:fldChar w:fldCharType="begin"/>
      </w:r>
      <w:r>
        <w:instrText xml:space="preserve"> PAGEREF _Toc522716120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"_Toc522716121" </w:instrText>
      </w:r>
      <w:r>
        <w:fldChar w:fldCharType="separate"/>
      </w:r>
      <w:r>
        <w:rPr>
          <w:rStyle w:val="24"/>
        </w:rPr>
        <w:t>7</w:t>
      </w:r>
      <w:r>
        <w:rPr>
          <w:b w:val="0"/>
          <w:bCs w:val="0"/>
          <w:caps w:val="0"/>
          <w:szCs w:val="22"/>
        </w:rPr>
        <w:tab/>
      </w:r>
      <w:r>
        <w:rPr>
          <w:rStyle w:val="24"/>
        </w:rPr>
        <w:t>运行要求</w:t>
      </w:r>
      <w:r>
        <w:tab/>
      </w:r>
      <w:r>
        <w:fldChar w:fldCharType="begin"/>
      </w:r>
      <w:r>
        <w:instrText xml:space="preserve"> PAGEREF _Toc522716121 \h </w:instrText>
      </w:r>
      <w:r>
        <w:fldChar w:fldCharType="separate"/>
      </w:r>
      <w:r>
        <w:t>7</w:t>
      </w:r>
      <w:r>
        <w:fldChar w:fldCharType="end"/>
      </w:r>
      <w:r>
        <w:fldChar w:fldCharType="end"/>
      </w:r>
    </w:p>
    <w:p>
      <w:pPr>
        <w:pStyle w:val="15"/>
        <w:rPr>
          <w:b w:val="0"/>
          <w:bCs w:val="0"/>
          <w:caps w:val="0"/>
          <w:szCs w:val="22"/>
        </w:rPr>
      </w:pPr>
      <w:r>
        <w:fldChar w:fldCharType="begin"/>
      </w:r>
      <w:r>
        <w:instrText xml:space="preserve"> HYPERLINK \l "_Toc522716122" </w:instrText>
      </w:r>
      <w:r>
        <w:fldChar w:fldCharType="separate"/>
      </w:r>
      <w:r>
        <w:rPr>
          <w:rStyle w:val="24"/>
        </w:rPr>
        <w:t>8</w:t>
      </w:r>
      <w:r>
        <w:rPr>
          <w:b w:val="0"/>
          <w:bCs w:val="0"/>
          <w:caps w:val="0"/>
          <w:szCs w:val="22"/>
        </w:rPr>
        <w:tab/>
      </w:r>
      <w:r>
        <w:rPr>
          <w:rStyle w:val="24"/>
        </w:rPr>
        <w:t>电气、自动控制要求</w:t>
      </w:r>
      <w:r>
        <w:tab/>
      </w:r>
      <w:r>
        <w:fldChar w:fldCharType="begin"/>
      </w:r>
      <w:r>
        <w:instrText xml:space="preserve"> PAGEREF _Toc522716122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"_Toc522716123" </w:instrText>
      </w:r>
      <w:r>
        <w:fldChar w:fldCharType="separate"/>
      </w:r>
      <w:r>
        <w:rPr>
          <w:rStyle w:val="24"/>
        </w:rPr>
        <w:t>9</w:t>
      </w:r>
      <w:r>
        <w:rPr>
          <w:b w:val="0"/>
          <w:bCs w:val="0"/>
          <w:caps w:val="0"/>
          <w:szCs w:val="22"/>
        </w:rPr>
        <w:tab/>
      </w:r>
      <w:r>
        <w:rPr>
          <w:rStyle w:val="24"/>
        </w:rPr>
        <w:t>安全要求</w:t>
      </w:r>
      <w:r>
        <w:tab/>
      </w:r>
      <w:r>
        <w:fldChar w:fldCharType="begin"/>
      </w:r>
      <w:r>
        <w:instrText xml:space="preserve"> PAGEREF _Toc522716123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"_Toc522716124" </w:instrText>
      </w:r>
      <w:r>
        <w:fldChar w:fldCharType="separate"/>
      </w:r>
      <w:r>
        <w:rPr>
          <w:rStyle w:val="24"/>
        </w:rPr>
        <w:t>10</w:t>
      </w:r>
      <w:r>
        <w:rPr>
          <w:b w:val="0"/>
          <w:bCs w:val="0"/>
          <w:caps w:val="0"/>
          <w:szCs w:val="22"/>
        </w:rPr>
        <w:tab/>
      </w:r>
      <w:r>
        <w:rPr>
          <w:rStyle w:val="24"/>
        </w:rPr>
        <w:t>文件要求</w:t>
      </w:r>
      <w:r>
        <w:tab/>
      </w:r>
      <w:r>
        <w:fldChar w:fldCharType="begin"/>
      </w:r>
      <w:r>
        <w:instrText xml:space="preserve"> PAGEREF _Toc522716124 \h </w:instrText>
      </w:r>
      <w:r>
        <w:fldChar w:fldCharType="separate"/>
      </w:r>
      <w:r>
        <w:t>9</w:t>
      </w:r>
      <w:r>
        <w:fldChar w:fldCharType="end"/>
      </w:r>
      <w:r>
        <w:fldChar w:fldCharType="end"/>
      </w:r>
    </w:p>
    <w:p>
      <w:pPr>
        <w:pStyle w:val="15"/>
        <w:rPr>
          <w:b w:val="0"/>
          <w:bCs w:val="0"/>
          <w:caps w:val="0"/>
          <w:szCs w:val="22"/>
        </w:rPr>
      </w:pPr>
      <w:r>
        <w:fldChar w:fldCharType="begin"/>
      </w:r>
      <w:r>
        <w:instrText xml:space="preserve"> HYPERLINK \l "_Toc522716125" </w:instrText>
      </w:r>
      <w:r>
        <w:fldChar w:fldCharType="separate"/>
      </w:r>
      <w:r>
        <w:rPr>
          <w:rStyle w:val="24"/>
        </w:rPr>
        <w:t>11</w:t>
      </w:r>
      <w:r>
        <w:rPr>
          <w:b w:val="0"/>
          <w:bCs w:val="0"/>
          <w:caps w:val="0"/>
          <w:szCs w:val="22"/>
        </w:rPr>
        <w:tab/>
      </w:r>
      <w:r>
        <w:rPr>
          <w:rStyle w:val="24"/>
        </w:rPr>
        <w:t>服务要求</w:t>
      </w:r>
      <w:r>
        <w:tab/>
      </w:r>
      <w:r>
        <w:fldChar w:fldCharType="begin"/>
      </w:r>
      <w:r>
        <w:instrText xml:space="preserve"> PAGEREF _Toc522716125 \h </w:instrText>
      </w:r>
      <w:r>
        <w:fldChar w:fldCharType="separate"/>
      </w:r>
      <w:r>
        <w:t>10</w:t>
      </w:r>
      <w:r>
        <w:fldChar w:fldCharType="end"/>
      </w:r>
      <w:r>
        <w:fldChar w:fldCharType="end"/>
      </w:r>
    </w:p>
    <w:p>
      <w:pPr>
        <w:pStyle w:val="15"/>
        <w:rPr>
          <w:b w:val="0"/>
          <w:bCs w:val="0"/>
          <w:caps w:val="0"/>
          <w:szCs w:val="22"/>
        </w:rPr>
      </w:pPr>
      <w:r>
        <w:fldChar w:fldCharType="begin"/>
      </w:r>
      <w:r>
        <w:instrText xml:space="preserve"> HYPERLINK \l "_Toc522716126" </w:instrText>
      </w:r>
      <w:r>
        <w:fldChar w:fldCharType="separate"/>
      </w:r>
      <w:r>
        <w:rPr>
          <w:rStyle w:val="24"/>
        </w:rPr>
        <w:t>12</w:t>
      </w:r>
      <w:r>
        <w:rPr>
          <w:b w:val="0"/>
          <w:bCs w:val="0"/>
          <w:caps w:val="0"/>
          <w:szCs w:val="22"/>
        </w:rPr>
        <w:tab/>
      </w:r>
      <w:r>
        <w:rPr>
          <w:rStyle w:val="24"/>
        </w:rPr>
        <w:t>附件</w:t>
      </w:r>
      <w:r>
        <w:tab/>
      </w:r>
      <w:r>
        <w:rPr>
          <w:rFonts w:hint="eastAsia"/>
        </w:rPr>
        <w:t>1</w:t>
      </w:r>
      <w:r>
        <w:rPr>
          <w:rFonts w:hint="eastAsia"/>
        </w:rPr>
        <w:fldChar w:fldCharType="end"/>
      </w:r>
      <w:r>
        <w:rPr>
          <w:rFonts w:hint="eastAsia"/>
        </w:rPr>
        <w:t>3</w:t>
      </w:r>
    </w:p>
    <w:p>
      <w:r>
        <w:fldChar w:fldCharType="end"/>
      </w:r>
      <w:permEnd w:id="2"/>
    </w:p>
    <w:p>
      <w:pPr>
        <w:rPr>
          <w:b/>
          <w:bCs/>
          <w:caps/>
          <w:kern w:val="2"/>
          <w:szCs w:val="21"/>
          <w:lang w:eastAsia="zh-CN"/>
        </w:rPr>
      </w:pPr>
      <w:r>
        <w:rPr>
          <w:b/>
          <w:bCs/>
          <w:caps/>
          <w:kern w:val="2"/>
          <w:szCs w:val="21"/>
          <w:lang w:eastAsia="zh-CN"/>
        </w:rPr>
        <w:br w:type="page"/>
      </w:r>
    </w:p>
    <w:p>
      <w:pPr>
        <w:pStyle w:val="32"/>
        <w:numPr>
          <w:ilvl w:val="0"/>
          <w:numId w:val="3"/>
        </w:numPr>
        <w:spacing w:after="158" w:afterLines="50"/>
        <w:ind w:left="426" w:hanging="426" w:hangingChars="202"/>
        <w:outlineLvl w:val="0"/>
        <w:rPr>
          <w:rFonts w:ascii="Times New Roman" w:hAnsi="Times New Roman"/>
          <w:b/>
        </w:rPr>
      </w:pPr>
      <w:bookmarkStart w:id="6" w:name="_Toc522716115"/>
      <w:bookmarkStart w:id="7" w:name="_Toc522107735"/>
      <w:r>
        <w:rPr>
          <w:rFonts w:ascii="Times New Roman" w:hAnsi="Times New Roman"/>
          <w:b/>
        </w:rPr>
        <w:t>目的</w:t>
      </w:r>
      <w:bookmarkEnd w:id="6"/>
      <w:bookmarkEnd w:id="7"/>
    </w:p>
    <w:p>
      <w:pPr>
        <w:pStyle w:val="42"/>
        <w:spacing w:before="0" w:line="360" w:lineRule="auto"/>
        <w:ind w:left="357"/>
        <w:jc w:val="left"/>
        <w:rPr>
          <w:szCs w:val="21"/>
          <w:lang w:eastAsia="zh-CN"/>
        </w:rPr>
      </w:pPr>
      <w:bookmarkStart w:id="8" w:name="_Toc482370757"/>
      <w:bookmarkStart w:id="9" w:name="_Toc482359936"/>
      <w:bookmarkStart w:id="10" w:name="_Toc482370349"/>
      <w:bookmarkStart w:id="11" w:name="_Toc482370061"/>
      <w:bookmarkStart w:id="12" w:name="_Toc482370141"/>
      <w:bookmarkStart w:id="13" w:name="_Toc482625279"/>
      <w:bookmarkStart w:id="14" w:name="_Toc482360281"/>
      <w:bookmarkStart w:id="15" w:name="_Toc481702475"/>
      <w:bookmarkStart w:id="16" w:name="_Toc482369805"/>
      <w:r>
        <w:rPr>
          <w:szCs w:val="21"/>
          <w:lang w:eastAsia="zh-CN"/>
        </w:rPr>
        <w:t>本文件的目的是描述武汉生物制品研究所有限责任公司</w:t>
      </w:r>
      <w:permStart w:id="3" w:edGrp="everyone"/>
      <w:r>
        <w:rPr>
          <w:rFonts w:hint="eastAsia" w:ascii="宋体" w:hAnsi="宋体"/>
          <w:szCs w:val="21"/>
          <w:lang w:eastAsia="zh-CN"/>
        </w:rPr>
        <w:t>联合疫苗楼百日咳疫苗原液车间蠕动泵</w:t>
      </w:r>
      <w:permEnd w:id="3"/>
      <w:r>
        <w:rPr>
          <w:szCs w:val="21"/>
          <w:lang w:eastAsia="zh-CN"/>
        </w:rPr>
        <w:t>的用户需求说明（URS），以确保最终用户的需求在项目设计阶段得以实现，并作为后续验证工作的基础。</w:t>
      </w:r>
    </w:p>
    <w:p>
      <w:pPr>
        <w:pStyle w:val="42"/>
        <w:spacing w:before="0"/>
        <w:ind w:left="360"/>
        <w:rPr>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17" w:name="_Toc522716116"/>
      <w:bookmarkStart w:id="18" w:name="_Toc522107736"/>
      <w:r>
        <w:rPr>
          <w:rFonts w:ascii="Times New Roman" w:hAnsi="Times New Roman"/>
          <w:b/>
        </w:rPr>
        <w:t>范围</w:t>
      </w:r>
      <w:bookmarkEnd w:id="17"/>
      <w:bookmarkEnd w:id="18"/>
    </w:p>
    <w:p>
      <w:pPr>
        <w:pStyle w:val="42"/>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ascii="宋体" w:hAnsi="宋体"/>
          <w:szCs w:val="21"/>
          <w:lang w:eastAsia="zh-CN"/>
        </w:rPr>
        <w:t>联合疫苗楼百日咳疫苗原液车间蠕动泵</w:t>
      </w:r>
      <w:permEnd w:id="4"/>
      <w:r>
        <w:rPr>
          <w:szCs w:val="21"/>
          <w:lang w:eastAsia="zh-CN"/>
        </w:rPr>
        <w:t>。</w:t>
      </w:r>
      <w:bookmarkEnd w:id="8"/>
      <w:bookmarkEnd w:id="9"/>
      <w:bookmarkEnd w:id="10"/>
      <w:bookmarkEnd w:id="11"/>
      <w:bookmarkEnd w:id="12"/>
      <w:bookmarkEnd w:id="13"/>
      <w:bookmarkEnd w:id="14"/>
      <w:bookmarkEnd w:id="15"/>
      <w:bookmarkEnd w:id="16"/>
    </w:p>
    <w:p>
      <w:pPr>
        <w:pStyle w:val="42"/>
        <w:spacing w:before="0" w:line="360" w:lineRule="auto"/>
        <w:ind w:left="357"/>
        <w:jc w:val="left"/>
        <w:rPr>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19" w:name="_Toc522716117"/>
      <w:bookmarkStart w:id="20" w:name="_Toc522107737"/>
      <w:r>
        <w:rPr>
          <w:rFonts w:ascii="Times New Roman" w:hAnsi="Times New Roman"/>
          <w:b/>
        </w:rPr>
        <w:t>参考文件</w:t>
      </w:r>
      <w:bookmarkEnd w:id="19"/>
      <w:bookmarkEnd w:id="20"/>
    </w:p>
    <w:p>
      <w:pPr>
        <w:pStyle w:val="42"/>
        <w:numPr>
          <w:ilvl w:val="0"/>
          <w:numId w:val="4"/>
        </w:numPr>
        <w:spacing w:before="0" w:line="360" w:lineRule="auto"/>
        <w:jc w:val="left"/>
        <w:rPr>
          <w:color w:val="000000"/>
          <w:szCs w:val="21"/>
          <w:lang w:eastAsia="zh-CN"/>
        </w:rPr>
      </w:pPr>
      <w:r>
        <w:rPr>
          <w:color w:val="000000"/>
          <w:szCs w:val="21"/>
          <w:lang w:eastAsia="zh-CN"/>
        </w:rPr>
        <w:t>GMP法规指南和SOP</w:t>
      </w:r>
    </w:p>
    <w:p>
      <w:pPr>
        <w:pStyle w:val="42"/>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42"/>
        <w:numPr>
          <w:ilvl w:val="0"/>
          <w:numId w:val="5"/>
        </w:numPr>
        <w:spacing w:before="0" w:line="360" w:lineRule="auto"/>
        <w:ind w:left="777"/>
        <w:jc w:val="left"/>
        <w:rPr>
          <w:szCs w:val="21"/>
          <w:lang w:eastAsia="zh-CN"/>
        </w:rPr>
      </w:pPr>
      <w:permStart w:id="5" w:edGrp="everyone"/>
      <w:r>
        <w:rPr>
          <w:rFonts w:hint="eastAsia"/>
          <w:szCs w:val="21"/>
          <w:lang w:eastAsia="zh-CN"/>
        </w:rPr>
        <w:t>中国药典</w:t>
      </w:r>
      <w:r>
        <w:rPr>
          <w:szCs w:val="21"/>
        </w:rPr>
        <w:t>2020</w:t>
      </w:r>
      <w:r>
        <w:rPr>
          <w:rFonts w:hint="eastAsia"/>
          <w:szCs w:val="21"/>
        </w:rPr>
        <w:t>年版</w:t>
      </w:r>
    </w:p>
    <w:p>
      <w:pPr>
        <w:pStyle w:val="42"/>
        <w:numPr>
          <w:ilvl w:val="0"/>
          <w:numId w:val="5"/>
        </w:numPr>
        <w:spacing w:before="0" w:line="360" w:lineRule="auto"/>
        <w:ind w:left="777"/>
        <w:jc w:val="left"/>
        <w:rPr>
          <w:szCs w:val="21"/>
          <w:lang w:eastAsia="zh-CN"/>
        </w:rPr>
      </w:pPr>
      <w:r>
        <w:rPr>
          <w:rFonts w:hint="eastAsia"/>
          <w:szCs w:val="21"/>
          <w:lang w:eastAsia="zh-CN"/>
        </w:rPr>
        <w:t>《药品生产质量管理规范》（</w:t>
      </w:r>
      <w:r>
        <w:rPr>
          <w:szCs w:val="21"/>
          <w:lang w:eastAsia="zh-CN"/>
        </w:rPr>
        <w:t>2010</w:t>
      </w:r>
      <w:r>
        <w:rPr>
          <w:rFonts w:hint="eastAsia"/>
          <w:szCs w:val="21"/>
          <w:lang w:eastAsia="zh-CN"/>
        </w:rPr>
        <w:t>修订版）及附录</w:t>
      </w:r>
    </w:p>
    <w:p>
      <w:pPr>
        <w:pStyle w:val="42"/>
        <w:numPr>
          <w:ilvl w:val="0"/>
          <w:numId w:val="5"/>
        </w:numPr>
        <w:spacing w:before="0" w:line="360" w:lineRule="auto"/>
        <w:ind w:left="777"/>
        <w:jc w:val="left"/>
        <w:rPr>
          <w:szCs w:val="21"/>
          <w:lang w:eastAsia="zh-CN"/>
        </w:rPr>
      </w:pPr>
      <w:r>
        <w:rPr>
          <w:rFonts w:hint="eastAsia"/>
          <w:szCs w:val="21"/>
          <w:lang w:eastAsia="zh-CN"/>
        </w:rPr>
        <w:t>《中华人民共和国药品管理法》（2019年修订）</w:t>
      </w:r>
    </w:p>
    <w:p>
      <w:pPr>
        <w:pStyle w:val="42"/>
        <w:numPr>
          <w:ilvl w:val="0"/>
          <w:numId w:val="5"/>
        </w:numPr>
        <w:spacing w:before="0" w:line="360" w:lineRule="auto"/>
        <w:ind w:left="777"/>
        <w:jc w:val="left"/>
        <w:rPr>
          <w:szCs w:val="21"/>
          <w:lang w:eastAsia="zh-CN"/>
        </w:rPr>
      </w:pPr>
      <w:r>
        <w:rPr>
          <w:szCs w:val="21"/>
          <w:lang w:eastAsia="zh-CN"/>
        </w:rPr>
        <w:t>GMP</w:t>
      </w:r>
      <w:r>
        <w:rPr>
          <w:rFonts w:hint="eastAsia"/>
          <w:szCs w:val="21"/>
          <w:lang w:eastAsia="zh-CN"/>
        </w:rPr>
        <w:t>附件</w:t>
      </w:r>
      <w:r>
        <w:rPr>
          <w:szCs w:val="21"/>
          <w:lang w:eastAsia="zh-CN"/>
        </w:rPr>
        <w:t>2</w:t>
      </w:r>
      <w:r>
        <w:rPr>
          <w:rFonts w:hint="eastAsia"/>
          <w:szCs w:val="21"/>
          <w:lang w:eastAsia="zh-CN"/>
        </w:rPr>
        <w:t>《确认与验证》</w:t>
      </w:r>
    </w:p>
    <w:permEnd w:id="5"/>
    <w:p>
      <w:pPr>
        <w:pStyle w:val="42"/>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42"/>
        <w:numPr>
          <w:ilvl w:val="0"/>
          <w:numId w:val="5"/>
        </w:numPr>
        <w:spacing w:before="0" w:line="360" w:lineRule="auto"/>
        <w:ind w:left="777"/>
        <w:jc w:val="left"/>
        <w:rPr>
          <w:rFonts w:ascii="宋体" w:hAnsi="宋体" w:cs="宋体"/>
          <w:iCs/>
          <w:color w:val="000000"/>
          <w:szCs w:val="21"/>
          <w:lang w:eastAsia="zh-CN"/>
        </w:rPr>
      </w:pPr>
      <w:permStart w:id="6" w:edGrp="everyone"/>
      <w:r>
        <w:rPr>
          <w:rFonts w:hint="eastAsia" w:ascii="宋体" w:hAnsi="宋体" w:cs="宋体"/>
          <w:iCs/>
          <w:color w:val="000000"/>
          <w:szCs w:val="21"/>
          <w:lang w:eastAsia="zh-CN"/>
        </w:rPr>
        <w:t>电气安全应符合GB4793.1和GB4793.4的要求。</w:t>
      </w:r>
    </w:p>
    <w:p>
      <w:pPr>
        <w:pStyle w:val="42"/>
        <w:numPr>
          <w:ilvl w:val="0"/>
          <w:numId w:val="5"/>
        </w:numPr>
        <w:spacing w:before="0" w:line="360" w:lineRule="auto"/>
        <w:ind w:left="777"/>
        <w:jc w:val="left"/>
        <w:rPr>
          <w:rFonts w:ascii="宋体" w:hAnsi="宋体" w:cs="宋体"/>
          <w:iCs/>
          <w:color w:val="000000"/>
          <w:szCs w:val="21"/>
          <w:lang w:eastAsia="zh-CN"/>
        </w:rPr>
      </w:pPr>
      <w:r>
        <w:rPr>
          <w:rFonts w:hint="eastAsia" w:ascii="宋体" w:hAnsi="宋体" w:cs="宋体"/>
          <w:iCs/>
          <w:color w:val="000000"/>
          <w:szCs w:val="21"/>
          <w:lang w:eastAsia="zh-CN"/>
        </w:rPr>
        <w:t>Tj36-79工业企业设计卫生标准</w:t>
      </w:r>
    </w:p>
    <w:p>
      <w:pPr>
        <w:pStyle w:val="42"/>
        <w:numPr>
          <w:ilvl w:val="0"/>
          <w:numId w:val="5"/>
        </w:numPr>
        <w:spacing w:before="0" w:line="360" w:lineRule="auto"/>
        <w:ind w:left="777"/>
        <w:jc w:val="left"/>
        <w:rPr>
          <w:rFonts w:ascii="宋体" w:hAnsi="宋体" w:cs="宋体"/>
          <w:iCs/>
          <w:color w:val="000000"/>
          <w:szCs w:val="21"/>
          <w:lang w:eastAsia="zh-CN"/>
        </w:rPr>
      </w:pPr>
      <w:r>
        <w:rPr>
          <w:rFonts w:hint="eastAsia" w:ascii="宋体" w:hAnsi="宋体" w:cs="宋体"/>
          <w:iCs/>
          <w:color w:val="000000"/>
          <w:szCs w:val="21"/>
          <w:lang w:eastAsia="zh-CN"/>
        </w:rPr>
        <w:t>GB-52261-2002机械电气设备第一部分：通用技术条件</w:t>
      </w:r>
    </w:p>
    <w:p>
      <w:pPr>
        <w:pStyle w:val="42"/>
        <w:numPr>
          <w:ilvl w:val="0"/>
          <w:numId w:val="5"/>
        </w:numPr>
        <w:spacing w:before="0" w:line="360" w:lineRule="auto"/>
        <w:ind w:left="777"/>
        <w:jc w:val="left"/>
        <w:rPr>
          <w:rFonts w:ascii="宋体" w:hAnsi="宋体" w:cs="宋体"/>
          <w:iCs/>
          <w:color w:val="000000"/>
          <w:szCs w:val="21"/>
          <w:lang w:eastAsia="zh-CN"/>
        </w:rPr>
      </w:pPr>
      <w:r>
        <w:rPr>
          <w:rFonts w:hint="eastAsia" w:ascii="宋体" w:hAnsi="宋体" w:cs="宋体"/>
          <w:iCs/>
          <w:color w:val="000000"/>
          <w:szCs w:val="21"/>
          <w:lang w:eastAsia="zh-CN"/>
        </w:rPr>
        <w:t>GB-12265-90机械防护安全要求</w:t>
      </w:r>
    </w:p>
    <w:permEnd w:id="6"/>
    <w:p>
      <w:pPr>
        <w:pStyle w:val="42"/>
        <w:spacing w:before="0" w:line="360" w:lineRule="auto"/>
        <w:ind w:left="357"/>
        <w:jc w:val="left"/>
        <w:rPr>
          <w:i/>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48" w:name="_GoBack"/>
      <w:bookmarkEnd w:id="48"/>
      <w:bookmarkStart w:id="21" w:name="_Toc522107739"/>
      <w:bookmarkStart w:id="22" w:name="_Toc522716119"/>
      <w:r>
        <w:rPr>
          <w:rFonts w:ascii="Times New Roman" w:hAnsi="Times New Roman"/>
          <w:b/>
        </w:rPr>
        <w:t>系统描述</w:t>
      </w:r>
      <w:bookmarkEnd w:id="21"/>
      <w:bookmarkEnd w:id="22"/>
    </w:p>
    <w:p>
      <w:pPr>
        <w:pStyle w:val="42"/>
        <w:spacing w:before="0" w:line="360" w:lineRule="auto"/>
        <w:ind w:left="357"/>
        <w:jc w:val="left"/>
        <w:rPr>
          <w:i/>
          <w:color w:val="4472C4"/>
          <w:szCs w:val="21"/>
          <w:lang w:eastAsia="zh-CN"/>
        </w:rPr>
      </w:pPr>
      <w:permStart w:id="7" w:edGrp="everyone"/>
      <w:r>
        <w:rPr>
          <w:rFonts w:hint="eastAsia" w:ascii="宋体" w:hAnsi="宋体"/>
          <w:color w:val="000000"/>
          <w:lang w:eastAsia="zh-CN"/>
        </w:rPr>
        <w:t>联合疫苗楼百日咳疫苗原液车间</w:t>
      </w:r>
      <w:r>
        <w:rPr>
          <w:rFonts w:hint="eastAsia" w:ascii="宋体" w:hAnsi="宋体"/>
          <w:lang w:eastAsia="zh-CN"/>
        </w:rPr>
        <w:t>需要购买20</w:t>
      </w:r>
      <w:r>
        <w:rPr>
          <w:rFonts w:hint="eastAsia" w:ascii="宋体" w:hAnsi="宋体"/>
          <w:color w:val="000000"/>
          <w:lang w:eastAsia="zh-CN"/>
        </w:rPr>
        <w:t>台蠕动泵</w:t>
      </w:r>
      <w:r>
        <w:rPr>
          <w:rFonts w:hint="eastAsia" w:ascii="宋体" w:hAnsi="宋体"/>
          <w:lang w:eastAsia="zh-CN"/>
        </w:rPr>
        <w:t>，</w:t>
      </w:r>
      <w:r>
        <w:rPr>
          <w:rFonts w:hint="eastAsia" w:ascii="宋体" w:hAnsi="宋体"/>
          <w:color w:val="000000"/>
          <w:lang w:eastAsia="zh-CN"/>
        </w:rPr>
        <w:t>用于百日咳疫苗原液生产中密度梯度离心上、下样时使用</w:t>
      </w:r>
      <w:r>
        <w:rPr>
          <w:rFonts w:hint="eastAsia" w:ascii="宋体" w:hAnsi="宋体"/>
          <w:lang w:eastAsia="zh-CN"/>
        </w:rPr>
        <w:t>。</w:t>
      </w:r>
      <w:permEnd w:id="7"/>
    </w:p>
    <w:p>
      <w:pPr>
        <w:pStyle w:val="32"/>
        <w:numPr>
          <w:ilvl w:val="0"/>
          <w:numId w:val="3"/>
        </w:numPr>
        <w:spacing w:after="158" w:afterLines="50"/>
        <w:ind w:left="426" w:hanging="426" w:hangingChars="202"/>
        <w:outlineLvl w:val="0"/>
        <w:rPr>
          <w:rFonts w:ascii="Times New Roman" w:hAnsi="Times New Roman"/>
          <w:b/>
          <w:szCs w:val="21"/>
        </w:rPr>
      </w:pPr>
      <w:bookmarkStart w:id="23" w:name="_Toc522716120"/>
      <w:r>
        <w:rPr>
          <w:rFonts w:ascii="Times New Roman" w:hAnsi="Times New Roman"/>
          <w:b/>
          <w:szCs w:val="21"/>
        </w:rPr>
        <w:t>安装要求</w:t>
      </w:r>
      <w:bookmarkEnd w:id="23"/>
    </w:p>
    <w:p>
      <w:pPr>
        <w:pStyle w:val="32"/>
        <w:spacing w:after="158" w:afterLines="50"/>
        <w:ind w:left="425" w:firstLine="0" w:firstLineChars="0"/>
        <w:rPr>
          <w:rFonts w:ascii="Times New Roman" w:hAnsi="Times New Roman"/>
          <w:szCs w:val="21"/>
        </w:rPr>
      </w:pPr>
      <w:permStart w:id="8" w:edGrp="everyone"/>
      <w:permEnd w:id="8"/>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4" w:name="OLE_LINK2"/>
            <w:bookmarkStart w:id="25" w:name="OLE_LINK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9" w:edGrp="everyone"/>
          </w:p>
        </w:tc>
        <w:tc>
          <w:tcPr>
            <w:tcW w:w="7128" w:type="dxa"/>
            <w:shd w:val="clear" w:color="auto" w:fill="auto"/>
            <w:vAlign w:val="center"/>
          </w:tcPr>
          <w:p>
            <w:pPr>
              <w:spacing w:line="276" w:lineRule="auto"/>
              <w:jc w:val="both"/>
              <w:rPr>
                <w:i/>
                <w:color w:val="0070C0"/>
                <w:szCs w:val="21"/>
                <w:lang w:eastAsia="zh-CN"/>
              </w:rPr>
            </w:pPr>
            <w:r>
              <w:rPr>
                <w:rFonts w:hint="eastAsia"/>
                <w:szCs w:val="21"/>
                <w:lang w:val="en-US" w:eastAsia="zh-CN"/>
              </w:rPr>
              <w:t>联合疫苗楼</w:t>
            </w:r>
            <w:r>
              <w:rPr>
                <w:rFonts w:hint="eastAsia"/>
                <w:szCs w:val="21"/>
                <w:lang w:eastAsia="zh-CN"/>
              </w:rPr>
              <w:t>百日咳</w:t>
            </w:r>
            <w:r>
              <w:rPr>
                <w:rFonts w:hint="eastAsia"/>
                <w:szCs w:val="21"/>
                <w:lang w:val="en-US" w:eastAsia="zh-CN"/>
              </w:rPr>
              <w:t>疫苗</w:t>
            </w:r>
            <w:r>
              <w:rPr>
                <w:rFonts w:hint="eastAsia"/>
                <w:szCs w:val="21"/>
                <w:lang w:eastAsia="zh-CN"/>
              </w:rPr>
              <w:t>原液车间</w:t>
            </w:r>
            <w:r>
              <w:rPr>
                <w:rFonts w:hint="eastAsia"/>
                <w:szCs w:val="21"/>
                <w:lang w:val="en-US" w:eastAsia="zh-CN"/>
              </w:rPr>
              <w:t>精提</w:t>
            </w:r>
            <w:r>
              <w:rPr>
                <w:rFonts w:hint="eastAsia"/>
                <w:szCs w:val="21"/>
                <w:lang w:eastAsia="zh-CN"/>
              </w:rPr>
              <w:t>间（有毒区</w:t>
            </w:r>
            <w:r>
              <w:rPr>
                <w:rFonts w:hint="eastAsia"/>
                <w:szCs w:val="21"/>
                <w:lang w:val="en-US" w:eastAsia="zh-CN"/>
              </w:rPr>
              <w:t>C+</w:t>
            </w:r>
            <w:r>
              <w:rPr>
                <w:rFonts w:hint="eastAsia"/>
                <w:iCs/>
                <w:color w:val="000000"/>
                <w:szCs w:val="21"/>
                <w:lang w:val="en-US" w:eastAsia="zh-CN"/>
              </w:rPr>
              <w:t>A级操作间）。</w:t>
            </w:r>
          </w:p>
        </w:tc>
        <w:tc>
          <w:tcPr>
            <w:tcW w:w="2125" w:type="dxa"/>
            <w:shd w:val="clear" w:color="auto" w:fill="auto"/>
            <w:vAlign w:val="center"/>
          </w:tcPr>
          <w:p>
            <w:pPr>
              <w:jc w:val="center"/>
              <w:rPr>
                <w:i/>
                <w:szCs w:val="21"/>
                <w:lang w:eastAsia="zh-CN"/>
              </w:rPr>
            </w:pPr>
            <w:r>
              <w:rPr>
                <w:rFonts w:hint="eastAsia"/>
                <w:szCs w:val="21"/>
                <w:lang w:eastAsia="zh-CN"/>
              </w:rPr>
              <w:t>关键</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10" w:edGrp="everyone"/>
          </w:p>
        </w:tc>
        <w:tc>
          <w:tcPr>
            <w:tcW w:w="7128" w:type="dxa"/>
            <w:shd w:val="clear" w:color="auto" w:fill="auto"/>
            <w:vAlign w:val="center"/>
          </w:tcPr>
          <w:p>
            <w:pPr>
              <w:spacing w:line="276" w:lineRule="auto"/>
              <w:jc w:val="both"/>
              <w:rPr>
                <w:i/>
                <w:szCs w:val="21"/>
                <w:lang w:val="en-US" w:eastAsia="zh-CN"/>
              </w:rPr>
            </w:pPr>
            <w:r>
              <w:rPr>
                <w:lang w:eastAsia="zh-CN"/>
              </w:rPr>
              <w:t>外形尺寸要求</w:t>
            </w:r>
            <w:r>
              <w:rPr>
                <w:rFonts w:hint="eastAsia" w:eastAsia="Times New Roman"/>
                <w:lang w:eastAsia="zh-CN"/>
              </w:rPr>
              <w:t>：</w:t>
            </w:r>
            <w:r>
              <w:rPr>
                <w:rFonts w:hint="eastAsia" w:eastAsia="Times New Roman"/>
                <w:lang w:val="en-US" w:eastAsia="zh-CN"/>
              </w:rPr>
              <w:t>小巧、轻便。</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lang w:val="en-US" w:eastAsia="zh-CN"/>
              </w:rPr>
            </w:pPr>
            <w:r>
              <w:rPr>
                <w:rFonts w:hint="eastAsia"/>
                <w:lang w:val="en-US" w:eastAsia="zh-CN"/>
              </w:rPr>
              <w:t>重量：≤</w:t>
            </w:r>
            <w:r>
              <w:rPr>
                <w:lang w:val="en-US" w:eastAsia="zh-CN"/>
              </w:rPr>
              <w:t>2</w:t>
            </w:r>
            <w:r>
              <w:rPr>
                <w:rFonts w:hint="eastAsia"/>
                <w:lang w:val="en-US" w:eastAsia="zh-CN"/>
              </w:rPr>
              <w:t>-5kg</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szCs w:val="21"/>
                <w:lang w:eastAsia="zh-CN"/>
              </w:rPr>
            </w:pPr>
            <w:r>
              <w:rPr>
                <w:color w:val="000000"/>
                <w:szCs w:val="21"/>
                <w:lang w:eastAsia="zh-CN"/>
              </w:rPr>
              <w:t>设备的形式尺寸应符合制造商说明书及技术文件规定的要求。</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szCs w:val="21"/>
                <w:lang w:eastAsia="zh-CN"/>
              </w:rPr>
            </w:pPr>
            <w:r>
              <w:rPr>
                <w:szCs w:val="21"/>
                <w:lang w:eastAsia="zh-CN"/>
              </w:rPr>
              <w:t>供应商必须给出设备选型方案及相应附件选型方案，并交给我公司使用部门及工程类部门审核。</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pStyle w:val="32"/>
              <w:ind w:firstLine="0" w:firstLineChars="0"/>
              <w:rPr>
                <w:rFonts w:ascii="Times New Roman" w:hAnsi="Times New Roman"/>
                <w:szCs w:val="21"/>
              </w:rPr>
            </w:pPr>
            <w:permStart w:id="11" w:edGrp="everyone"/>
          </w:p>
        </w:tc>
        <w:tc>
          <w:tcPr>
            <w:tcW w:w="9253" w:type="dxa"/>
            <w:gridSpan w:val="2"/>
            <w:shd w:val="clear" w:color="auto" w:fill="auto"/>
            <w:vAlign w:val="center"/>
          </w:tcPr>
          <w:p>
            <w:pPr>
              <w:jc w:val="both"/>
              <w:rPr>
                <w:szCs w:val="21"/>
                <w:lang w:eastAsia="zh-CN"/>
              </w:rPr>
            </w:pPr>
            <w:r>
              <w:rPr>
                <w:lang w:eastAsia="zh-CN"/>
              </w:rPr>
              <w:t>N/A</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pStyle w:val="32"/>
              <w:ind w:firstLine="0" w:firstLineChars="0"/>
              <w:rPr>
                <w:rFonts w:ascii="Times New Roman" w:hAnsi="Times New Roman"/>
                <w:szCs w:val="21"/>
              </w:rPr>
            </w:pPr>
            <w:permStart w:id="12" w:edGrp="everyone"/>
          </w:p>
        </w:tc>
        <w:tc>
          <w:tcPr>
            <w:tcW w:w="9253" w:type="dxa"/>
            <w:gridSpan w:val="2"/>
            <w:shd w:val="clear" w:color="auto" w:fill="auto"/>
            <w:vAlign w:val="center"/>
          </w:tcPr>
          <w:p>
            <w:pPr>
              <w:jc w:val="both"/>
              <w:rPr>
                <w:szCs w:val="21"/>
                <w:lang w:eastAsia="zh-CN"/>
              </w:rPr>
            </w:pPr>
            <w:r>
              <w:rPr>
                <w:lang w:eastAsia="zh-CN"/>
              </w:rPr>
              <w:t>N/A</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13"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适应我公司工作环境温度：能适应18℃～26℃环境。</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14"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适应我公司</w:t>
            </w:r>
            <w:r>
              <w:rPr>
                <w:rFonts w:hint="eastAsia"/>
                <w:lang w:eastAsia="zh-CN"/>
              </w:rPr>
              <w:t>工作环境湿度：至少包括</w:t>
            </w:r>
            <w:r>
              <w:rPr>
                <w:lang w:eastAsia="zh-CN"/>
              </w:rPr>
              <w:t>45%</w:t>
            </w:r>
            <w:r>
              <w:rPr>
                <w:rFonts w:hint="eastAsia"/>
                <w:lang w:eastAsia="zh-CN"/>
              </w:rPr>
              <w:t>～</w:t>
            </w:r>
            <w:r>
              <w:rPr>
                <w:lang w:eastAsia="zh-CN"/>
              </w:rPr>
              <w:t>65%</w:t>
            </w:r>
            <w:r>
              <w:rPr>
                <w:rFonts w:hint="eastAsia"/>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15" w:edGrp="everyone"/>
          </w:p>
        </w:tc>
        <w:tc>
          <w:tcPr>
            <w:tcW w:w="7128" w:type="dxa"/>
            <w:shd w:val="clear" w:color="auto" w:fill="auto"/>
            <w:vAlign w:val="center"/>
          </w:tcPr>
          <w:p>
            <w:pPr>
              <w:spacing w:line="276" w:lineRule="auto"/>
              <w:jc w:val="both"/>
              <w:rPr>
                <w:color w:val="000000"/>
                <w:lang w:eastAsia="zh-CN"/>
              </w:rPr>
            </w:pPr>
            <w:r>
              <w:rPr>
                <w:color w:val="000000"/>
                <w:lang w:eastAsia="zh-CN"/>
              </w:rPr>
              <w:t>工作环境洁净级别：</w:t>
            </w:r>
            <w:r>
              <w:rPr>
                <w:rFonts w:hint="eastAsia"/>
                <w:color w:val="000000"/>
                <w:lang w:eastAsia="zh-CN"/>
              </w:rPr>
              <w:t>A级/</w:t>
            </w:r>
            <w:r>
              <w:rPr>
                <w:rFonts w:hint="eastAsia"/>
                <w:lang w:eastAsia="zh-CN"/>
              </w:rPr>
              <w:t>C级</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16" w:edGrp="everyone"/>
          </w:p>
        </w:tc>
        <w:tc>
          <w:tcPr>
            <w:tcW w:w="7128" w:type="dxa"/>
            <w:shd w:val="clear" w:color="auto" w:fill="auto"/>
            <w:vAlign w:val="center"/>
          </w:tcPr>
          <w:p>
            <w:pPr>
              <w:spacing w:line="276" w:lineRule="auto"/>
              <w:jc w:val="both"/>
              <w:rPr>
                <w:color w:val="000000"/>
                <w:lang w:eastAsia="zh-CN"/>
              </w:rPr>
            </w:pPr>
            <w:r>
              <w:rPr>
                <w:color w:val="000000"/>
                <w:lang w:eastAsia="zh-CN"/>
              </w:rPr>
              <w:t>交流电电源：</w:t>
            </w:r>
            <w:r>
              <w:rPr>
                <w:rFonts w:hint="eastAsia"/>
                <w:color w:val="000000"/>
                <w:lang w:val="en-US" w:eastAsia="zh-CN"/>
              </w:rPr>
              <w:t>22</w:t>
            </w:r>
            <w:r>
              <w:rPr>
                <w:iCs/>
                <w:color w:val="000000"/>
                <w:lang w:eastAsia="zh-CN"/>
              </w:rPr>
              <w:t>0±10%V，50±1H</w:t>
            </w:r>
            <w:r>
              <w:rPr>
                <w:rFonts w:hint="eastAsia"/>
                <w:iCs/>
                <w:color w:val="000000"/>
                <w:lang w:eastAsia="zh-CN"/>
              </w:rPr>
              <w:t>z</w:t>
            </w:r>
          </w:p>
        </w:tc>
        <w:tc>
          <w:tcPr>
            <w:tcW w:w="2125" w:type="dxa"/>
            <w:shd w:val="clear" w:color="auto" w:fill="auto"/>
            <w:vAlign w:val="center"/>
          </w:tcPr>
          <w:p>
            <w:pPr>
              <w:spacing w:line="276" w:lineRule="auto"/>
              <w:jc w:val="center"/>
              <w:rPr>
                <w:color w:val="000000"/>
                <w:lang w:val="en-US" w:eastAsia="zh-CN"/>
              </w:rPr>
            </w:pPr>
            <w:r>
              <w:rPr>
                <w:rFonts w:hint="eastAsia"/>
                <w:color w:val="000000"/>
                <w:lang w:val="en-US"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17" w:edGrp="everyone"/>
          </w:p>
        </w:tc>
        <w:tc>
          <w:tcPr>
            <w:tcW w:w="7128" w:type="dxa"/>
            <w:shd w:val="clear" w:color="auto" w:fill="auto"/>
            <w:vAlign w:val="center"/>
          </w:tcPr>
          <w:p>
            <w:pPr>
              <w:spacing w:line="276" w:lineRule="auto"/>
              <w:jc w:val="both"/>
              <w:rPr>
                <w:i/>
                <w:color w:val="000000"/>
                <w:lang w:eastAsia="zh-CN"/>
              </w:rPr>
            </w:pPr>
            <w:r>
              <w:rPr>
                <w:rFonts w:hint="eastAsia"/>
                <w:szCs w:val="21"/>
                <w:lang w:val="en-US" w:eastAsia="zh-CN"/>
              </w:rPr>
              <w:t>设备表面：表面无明显的划痕、凹陷、脱落、裂纹、锈蚀以及其它肉眼可见的外观缺陷。</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olor w:val="000000"/>
                <w:szCs w:val="21"/>
                <w:lang w:val="en-US" w:eastAsia="zh-CN"/>
              </w:rPr>
            </w:pPr>
            <w:r>
              <w:rPr>
                <w:rFonts w:hint="eastAsia"/>
                <w:color w:val="000000"/>
                <w:lang w:val="en-US" w:eastAsia="zh-CN"/>
              </w:rPr>
              <w:t>泵体外壳表面特殊涂层，表面</w:t>
            </w:r>
            <w:r>
              <w:rPr>
                <w:rFonts w:hint="eastAsia"/>
                <w:color w:val="000000"/>
                <w:lang w:eastAsia="zh-CN"/>
              </w:rPr>
              <w:t>需耐受消毒剂、蔗糖溶液、</w:t>
            </w:r>
            <w:r>
              <w:rPr>
                <w:rFonts w:hint="eastAsia" w:ascii="宋体" w:hAnsi="宋体"/>
                <w:color w:val="000000"/>
                <w:szCs w:val="21"/>
                <w:lang w:eastAsia="zh-CN"/>
              </w:rPr>
              <w:t>磷酸缓冲液等酸碱性溶液，不易锈蚀。</w:t>
            </w:r>
            <w:r>
              <w:rPr>
                <w:rFonts w:hint="eastAsia" w:ascii="宋体" w:hAnsi="宋体"/>
                <w:szCs w:val="21"/>
                <w:lang w:val="en-US" w:eastAsia="zh-CN"/>
              </w:rPr>
              <w:t>全机身为防尘、防水设计。</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2"/>
                <w:highlight w:val="yellow"/>
                <w:lang w:val="en-US" w:eastAsia="zh-CN"/>
              </w:rPr>
            </w:pPr>
            <w:r>
              <w:rPr>
                <w:rFonts w:hint="eastAsia" w:ascii="宋体" w:hAnsi="宋体"/>
                <w:szCs w:val="21"/>
                <w:lang w:val="en-US" w:eastAsia="zh-CN"/>
              </w:rPr>
              <w:t>系统外表面耐受常见的消毒剂处理（如紫外照射、75%酒精、1%84消毒液或0.1%新洁尔灭、臭氧等）</w:t>
            </w:r>
          </w:p>
        </w:tc>
        <w:tc>
          <w:tcPr>
            <w:tcW w:w="2125" w:type="dxa"/>
            <w:shd w:val="clear" w:color="auto" w:fill="auto"/>
            <w:vAlign w:val="center"/>
          </w:tcPr>
          <w:p>
            <w:pPr>
              <w:jc w:val="center"/>
              <w:rPr>
                <w:szCs w:val="21"/>
                <w:lang w:val="en-US" w:eastAsia="zh-CN"/>
              </w:rPr>
            </w:pPr>
            <w:r>
              <w:rPr>
                <w:rFonts w:hint="eastAsia"/>
                <w:szCs w:val="21"/>
                <w:lang w:val="en-US" w:eastAsia="zh-CN"/>
              </w:rPr>
              <w:t>关键</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2"/>
                <w:highlight w:val="yellow"/>
                <w:lang w:val="en-US" w:eastAsia="zh-CN"/>
              </w:rPr>
            </w:pPr>
            <w:r>
              <w:rPr>
                <w:rFonts w:hint="eastAsia" w:ascii="宋体" w:hAnsi="宋体"/>
                <w:szCs w:val="21"/>
                <w:lang w:val="en-US" w:eastAsia="zh-CN"/>
              </w:rPr>
              <w:t>防护等级IP</w:t>
            </w:r>
            <w:r>
              <w:rPr>
                <w:rFonts w:ascii="宋体" w:hAnsi="宋体"/>
                <w:szCs w:val="21"/>
                <w:lang w:val="en-US" w:eastAsia="zh-CN"/>
              </w:rPr>
              <w:t>31</w:t>
            </w:r>
            <w:r>
              <w:rPr>
                <w:rFonts w:hint="eastAsia" w:ascii="宋体" w:hAnsi="宋体"/>
                <w:szCs w:val="21"/>
                <w:lang w:val="en-US" w:eastAsia="zh-CN"/>
              </w:rPr>
              <w:t>或以上。</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olor w:val="000000"/>
                <w:szCs w:val="21"/>
                <w:lang w:val="en-US" w:eastAsia="zh-CN"/>
              </w:rPr>
            </w:pPr>
            <w:r>
              <w:rPr>
                <w:rFonts w:hint="eastAsia" w:ascii="宋体" w:hAnsi="宋体"/>
                <w:szCs w:val="21"/>
                <w:lang w:val="en-US" w:eastAsia="zh-CN"/>
              </w:rPr>
              <w:t>驱动器所有外部部件的连接处都进行密封处理及平衡泵内压力，并阻止水和腐蚀性蒸汽的进入，具有低脉冲，流速稳定，流速可调（可校准）。有定时，定量以及可编辑流量程序功能。</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szCs w:val="21"/>
                <w:lang w:val="en-US" w:eastAsia="zh-CN"/>
              </w:rPr>
            </w:pPr>
            <w:r>
              <w:rPr>
                <w:rFonts w:hint="eastAsia" w:ascii="宋体" w:hAnsi="宋体"/>
                <w:szCs w:val="21"/>
                <w:lang w:val="en-US" w:eastAsia="zh-CN"/>
              </w:rPr>
              <w:t>触摸屏操作界面，易于操作，应配有中英文操作界面。</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szCs w:val="21"/>
                <w:lang w:eastAsia="zh-CN"/>
              </w:rPr>
            </w:pPr>
            <w:r>
              <w:rPr>
                <w:color w:val="000000"/>
                <w:szCs w:val="21"/>
                <w:lang w:val="en-US" w:eastAsia="zh-CN"/>
              </w:rPr>
              <w:t>标识</w:t>
            </w:r>
            <w:r>
              <w:rPr>
                <w:color w:val="000000"/>
                <w:szCs w:val="21"/>
                <w:lang w:eastAsia="zh-CN"/>
              </w:rPr>
              <w:t xml:space="preserve">：至少应有以下永久贴牢和清楚易认的标识： </w:t>
            </w:r>
          </w:p>
          <w:p>
            <w:pPr>
              <w:spacing w:line="276" w:lineRule="auto"/>
              <w:jc w:val="both"/>
              <w:rPr>
                <w:color w:val="000000"/>
                <w:szCs w:val="21"/>
                <w:lang w:eastAsia="zh-CN"/>
              </w:rPr>
            </w:pPr>
            <w:r>
              <w:rPr>
                <w:color w:val="000000"/>
                <w:szCs w:val="21"/>
                <w:lang w:eastAsia="zh-CN"/>
              </w:rPr>
              <w:t>（1）制造/供应单位；</w:t>
            </w:r>
          </w:p>
          <w:p>
            <w:pPr>
              <w:spacing w:line="276" w:lineRule="auto"/>
              <w:jc w:val="both"/>
              <w:rPr>
                <w:color w:val="000000"/>
                <w:szCs w:val="21"/>
                <w:lang w:eastAsia="zh-CN"/>
              </w:rPr>
            </w:pPr>
            <w:r>
              <w:rPr>
                <w:color w:val="000000"/>
                <w:szCs w:val="21"/>
                <w:lang w:eastAsia="zh-CN"/>
              </w:rPr>
              <w:t>（2）产品注册号；</w:t>
            </w:r>
          </w:p>
          <w:p>
            <w:pPr>
              <w:spacing w:line="276" w:lineRule="auto"/>
              <w:jc w:val="both"/>
              <w:rPr>
                <w:color w:val="000000"/>
                <w:szCs w:val="21"/>
                <w:lang w:eastAsia="zh-CN"/>
              </w:rPr>
            </w:pPr>
            <w:r>
              <w:rPr>
                <w:color w:val="000000"/>
                <w:szCs w:val="21"/>
                <w:lang w:eastAsia="zh-CN"/>
              </w:rPr>
              <w:t>（3）型号；</w:t>
            </w:r>
          </w:p>
          <w:p>
            <w:pPr>
              <w:spacing w:line="276" w:lineRule="auto"/>
              <w:jc w:val="both"/>
              <w:rPr>
                <w:color w:val="000000"/>
                <w:szCs w:val="21"/>
                <w:lang w:eastAsia="zh-CN"/>
              </w:rPr>
            </w:pPr>
            <w:r>
              <w:rPr>
                <w:color w:val="000000"/>
                <w:szCs w:val="21"/>
                <w:lang w:eastAsia="zh-CN"/>
              </w:rPr>
              <w:t>（4）生产日期或编号；</w:t>
            </w:r>
          </w:p>
          <w:p>
            <w:pPr>
              <w:spacing w:line="276" w:lineRule="auto"/>
              <w:jc w:val="both"/>
              <w:rPr>
                <w:color w:val="000000"/>
                <w:szCs w:val="21"/>
                <w:lang w:eastAsia="zh-CN"/>
              </w:rPr>
            </w:pPr>
            <w:r>
              <w:rPr>
                <w:color w:val="000000"/>
                <w:szCs w:val="21"/>
                <w:lang w:eastAsia="zh-CN"/>
              </w:rPr>
              <w:t>（5）对设备必要的说明；</w:t>
            </w:r>
          </w:p>
          <w:p>
            <w:pPr>
              <w:spacing w:line="276" w:lineRule="auto"/>
              <w:jc w:val="both"/>
              <w:rPr>
                <w:rFonts w:ascii="宋体" w:hAnsi="宋体" w:cs="宋体"/>
                <w:szCs w:val="22"/>
                <w:highlight w:val="yellow"/>
                <w:lang w:val="en-US" w:eastAsia="zh-CN"/>
              </w:rPr>
            </w:pPr>
            <w:r>
              <w:rPr>
                <w:color w:val="000000"/>
                <w:szCs w:val="21"/>
              </w:rPr>
              <w:t>（</w:t>
            </w:r>
            <w:r>
              <w:rPr>
                <w:color w:val="000000"/>
                <w:szCs w:val="21"/>
                <w:lang w:eastAsia="zh-CN"/>
              </w:rPr>
              <w:t>6</w:t>
            </w:r>
            <w:r>
              <w:rPr>
                <w:color w:val="000000"/>
                <w:szCs w:val="21"/>
              </w:rPr>
              <w:t>）安全标识。</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2"/>
                <w:highlight w:val="yellow"/>
                <w:lang w:val="en-US" w:eastAsia="zh-CN"/>
              </w:rPr>
            </w:pPr>
            <w:r>
              <w:rPr>
                <w:rFonts w:hint="eastAsia"/>
                <w:color w:val="000000"/>
                <w:szCs w:val="21"/>
                <w:lang w:val="en-US" w:eastAsia="zh-CN"/>
              </w:rPr>
              <w:t>泵管要求：泵管内径适用于16#泵管（3.2mm*6.4mm），耐酸碱腐蚀，能耐受2%-5%的NaOH浸泡12h。</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szCs w:val="21"/>
                <w:lang w:val="en-US" w:eastAsia="zh-CN"/>
              </w:rPr>
            </w:pPr>
            <w:r>
              <w:rPr>
                <w:rFonts w:hint="eastAsia" w:ascii="宋体" w:hAnsi="宋体"/>
                <w:szCs w:val="21"/>
                <w:lang w:val="en-US" w:eastAsia="zh-CN"/>
              </w:rPr>
              <w:t>泵头：能提供平稳低脉冲的流速。泵头符合洁净车间无尘要求，易于清洗、维护简单，可以单手操作安装泵管。泵头采用进口知名品牌。</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bookmarkEnd w:id="24"/>
      <w:bookmarkEnd w:id="25"/>
      <w:permEnd w:id="17"/>
    </w:tbl>
    <w:p>
      <w:pPr>
        <w:pStyle w:val="32"/>
        <w:spacing w:after="158" w:afterLines="50"/>
        <w:ind w:left="425" w:firstLine="0" w:firstLineChars="0"/>
        <w:rPr>
          <w:rFonts w:ascii="Times New Roman" w:hAnsi="Times New Roman"/>
          <w:szCs w:val="21"/>
        </w:rPr>
      </w:pPr>
    </w:p>
    <w:p>
      <w:pPr>
        <w:pStyle w:val="32"/>
        <w:numPr>
          <w:ilvl w:val="0"/>
          <w:numId w:val="3"/>
        </w:numPr>
        <w:spacing w:after="158" w:afterLines="50"/>
        <w:ind w:left="426" w:hanging="426" w:hangingChars="202"/>
        <w:outlineLvl w:val="0"/>
        <w:rPr>
          <w:rFonts w:ascii="Times New Roman" w:hAnsi="Times New Roman"/>
          <w:b/>
        </w:rPr>
      </w:pPr>
      <w:bookmarkStart w:id="26" w:name="_Toc522716121"/>
      <w:bookmarkStart w:id="27" w:name="_Toc522107740"/>
      <w:r>
        <w:rPr>
          <w:rFonts w:ascii="Times New Roman" w:hAnsi="Times New Roman"/>
          <w:b/>
        </w:rPr>
        <w:t>运行要求</w:t>
      </w:r>
      <w:bookmarkEnd w:id="26"/>
      <w:bookmarkEnd w:id="27"/>
    </w:p>
    <w:p>
      <w:pPr>
        <w:pStyle w:val="42"/>
        <w:spacing w:before="0" w:line="360" w:lineRule="auto"/>
        <w:jc w:val="left"/>
        <w:rPr>
          <w:bCs/>
          <w:i/>
          <w:color w:val="4472C4"/>
          <w:kern w:val="44"/>
          <w:szCs w:val="21"/>
          <w:lang w:eastAsia="zh-CN"/>
        </w:rPr>
      </w:pPr>
      <w:permStart w:id="18" w:edGrp="everyone"/>
    </w:p>
    <w:permEnd w:id="18"/>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pStyle w:val="32"/>
              <w:ind w:firstLine="0" w:firstLineChars="0"/>
              <w:rPr>
                <w:rFonts w:ascii="Times New Roman" w:hAnsi="Times New Roman"/>
                <w:szCs w:val="21"/>
              </w:rPr>
            </w:pPr>
            <w:permStart w:id="19" w:edGrp="everyone"/>
          </w:p>
        </w:tc>
        <w:tc>
          <w:tcPr>
            <w:tcW w:w="9253" w:type="dxa"/>
            <w:gridSpan w:val="2"/>
            <w:shd w:val="clear" w:color="auto" w:fill="auto"/>
            <w:vAlign w:val="center"/>
          </w:tcPr>
          <w:p>
            <w:pPr>
              <w:jc w:val="both"/>
              <w:rPr>
                <w:szCs w:val="21"/>
                <w:lang w:eastAsia="zh-CN"/>
              </w:rPr>
            </w:pPr>
            <w:r>
              <w:rPr>
                <w:lang w:eastAsia="zh-CN"/>
              </w:rPr>
              <w:t>N/A</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20" w:edGrp="everyone"/>
          </w:p>
        </w:tc>
        <w:tc>
          <w:tcPr>
            <w:tcW w:w="7128" w:type="dxa"/>
            <w:shd w:val="clear" w:color="auto" w:fill="auto"/>
            <w:vAlign w:val="center"/>
          </w:tcPr>
          <w:p>
            <w:pPr>
              <w:spacing w:line="276" w:lineRule="auto"/>
              <w:jc w:val="both"/>
              <w:rPr>
                <w:lang w:eastAsia="zh-CN"/>
              </w:rPr>
            </w:pPr>
            <w:r>
              <w:rPr>
                <w:rFonts w:hint="eastAsia"/>
                <w:lang w:val="en-US" w:eastAsia="zh-CN"/>
              </w:rPr>
              <w:t>每台</w:t>
            </w:r>
            <w:r>
              <w:rPr>
                <w:lang w:eastAsia="zh-CN"/>
              </w:rPr>
              <w:t>随设备配备</w:t>
            </w:r>
            <w:r>
              <w:rPr>
                <w:rFonts w:hint="eastAsia"/>
                <w:lang w:eastAsia="zh-CN"/>
              </w:rPr>
              <w:t>电源线、</w:t>
            </w:r>
            <w:r>
              <w:rPr>
                <w:rFonts w:hint="eastAsia"/>
                <w:lang w:val="en-US" w:eastAsia="zh-CN"/>
              </w:rPr>
              <w:t>触屏笔1支</w:t>
            </w:r>
            <w:r>
              <w:rPr>
                <w:rFonts w:hint="eastAsia"/>
                <w:lang w:eastAsia="zh-CN"/>
              </w:rPr>
              <w:t>以及进口标准</w:t>
            </w:r>
            <w:r>
              <w:rPr>
                <w:lang w:eastAsia="zh-CN"/>
              </w:rPr>
              <w:t>泵管</w:t>
            </w:r>
            <w:r>
              <w:rPr>
                <w:rFonts w:hint="eastAsia"/>
                <w:lang w:val="en-US" w:eastAsia="zh-CN"/>
              </w:rPr>
              <w:t>15</w:t>
            </w:r>
            <w:r>
              <w:rPr>
                <w:lang w:eastAsia="zh-CN"/>
              </w:rPr>
              <w:t>米</w:t>
            </w:r>
            <w:r>
              <w:rPr>
                <w:rFonts w:hint="eastAsia"/>
                <w:lang w:eastAsia="zh-CN"/>
              </w:rPr>
              <w:t>。</w:t>
            </w:r>
          </w:p>
        </w:tc>
        <w:tc>
          <w:tcPr>
            <w:tcW w:w="2125" w:type="dxa"/>
            <w:shd w:val="clear" w:color="auto" w:fill="auto"/>
            <w:vAlign w:val="center"/>
          </w:tcPr>
          <w:p>
            <w:pPr>
              <w:spacing w:line="276" w:lineRule="auto"/>
              <w:jc w:val="center"/>
              <w:rPr>
                <w:lang w:val="en-US" w:eastAsia="zh-CN"/>
              </w:rPr>
            </w:pPr>
            <w:r>
              <w:rPr>
                <w:rFonts w:hint="eastAsia"/>
                <w:lang w:val="en-US" w:eastAsia="zh-CN"/>
              </w:rPr>
              <w:t>关键</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21" w:edGrp="everyone"/>
          </w:p>
        </w:tc>
        <w:tc>
          <w:tcPr>
            <w:tcW w:w="7128" w:type="dxa"/>
            <w:shd w:val="clear" w:color="auto" w:fill="auto"/>
            <w:vAlign w:val="center"/>
          </w:tcPr>
          <w:p>
            <w:pPr>
              <w:spacing w:line="276" w:lineRule="auto"/>
              <w:jc w:val="both"/>
              <w:rPr>
                <w:i/>
                <w:szCs w:val="21"/>
                <w:lang w:val="en-US" w:eastAsia="zh-CN"/>
              </w:rPr>
            </w:pPr>
            <w:r>
              <w:rPr>
                <w:rFonts w:hint="eastAsia" w:ascii="宋体" w:hAnsi="宋体"/>
                <w:color w:val="000000" w:themeColor="text1"/>
                <w:szCs w:val="21"/>
                <w:lang w:val="en-US" w:eastAsia="zh-CN"/>
              </w:rPr>
              <w:t>能提供流量范围50-100ml/min，且流量可调(可校准）；流量精度≤±</w:t>
            </w:r>
            <w:r>
              <w:rPr>
                <w:rFonts w:ascii="宋体" w:hAnsi="宋体"/>
                <w:color w:val="000000" w:themeColor="text1"/>
                <w:szCs w:val="21"/>
                <w:lang w:val="en-US" w:eastAsia="zh-CN"/>
              </w:rPr>
              <w:t>1</w:t>
            </w:r>
            <w:r>
              <w:rPr>
                <w:rFonts w:hint="eastAsia" w:ascii="宋体" w:hAnsi="宋体"/>
                <w:color w:val="000000" w:themeColor="text1"/>
                <w:szCs w:val="21"/>
                <w:lang w:val="en-US"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22" w:edGrp="everyone"/>
          </w:p>
        </w:tc>
        <w:tc>
          <w:tcPr>
            <w:tcW w:w="7128" w:type="dxa"/>
            <w:shd w:val="clear" w:color="auto" w:fill="auto"/>
            <w:vAlign w:val="center"/>
          </w:tcPr>
          <w:p>
            <w:pPr>
              <w:spacing w:line="276" w:lineRule="auto"/>
              <w:jc w:val="both"/>
              <w:rPr>
                <w:lang w:val="en-US" w:eastAsia="zh-CN"/>
              </w:rPr>
            </w:pPr>
            <w:r>
              <w:rPr>
                <w:rFonts w:hint="eastAsia"/>
                <w:color w:val="333333"/>
                <w:szCs w:val="21"/>
                <w:shd w:val="clear" w:color="auto" w:fill="FFFFFF"/>
                <w:lang w:eastAsia="zh-CN"/>
              </w:rPr>
              <w:t>可以提供连续运行、体积分配和时间分配模式——体积和时间模式下的批量控制和间隔/关闭时间功能。</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23" w:edGrp="everyone"/>
          </w:p>
        </w:tc>
        <w:tc>
          <w:tcPr>
            <w:tcW w:w="7128" w:type="dxa"/>
            <w:shd w:val="clear" w:color="auto" w:fill="auto"/>
            <w:vAlign w:val="center"/>
          </w:tcPr>
          <w:p>
            <w:pPr>
              <w:spacing w:line="276" w:lineRule="auto"/>
              <w:jc w:val="both"/>
              <w:rPr>
                <w:rFonts w:ascii="宋体" w:hAnsi="宋体"/>
                <w:color w:val="0000FF"/>
                <w:szCs w:val="21"/>
                <w:lang w:val="en-US" w:eastAsia="zh-CN"/>
              </w:rPr>
            </w:pPr>
            <w:r>
              <w:rPr>
                <w:rFonts w:hint="eastAsia" w:cs="Calibri"/>
                <w:szCs w:val="21"/>
                <w:lang w:val="en-US" w:eastAsia="zh-CN"/>
              </w:rPr>
              <w:t>泵管可耐受</w:t>
            </w:r>
            <w:r>
              <w:rPr>
                <w:rFonts w:cs="Calibri"/>
                <w:szCs w:val="21"/>
                <w:lang w:val="en-US" w:eastAsia="zh-CN"/>
              </w:rPr>
              <w:t>2.7 bar</w:t>
            </w:r>
            <w:r>
              <w:rPr>
                <w:rFonts w:hint="eastAsia" w:cs="Calibri"/>
                <w:szCs w:val="21"/>
                <w:lang w:val="en-US" w:eastAsia="zh-CN"/>
              </w:rPr>
              <w:t>压力。</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24" w:edGrp="everyone"/>
          </w:p>
        </w:tc>
        <w:tc>
          <w:tcPr>
            <w:tcW w:w="7128" w:type="dxa"/>
            <w:shd w:val="clear" w:color="auto" w:fill="auto"/>
            <w:vAlign w:val="center"/>
          </w:tcPr>
          <w:p>
            <w:pPr>
              <w:spacing w:line="276" w:lineRule="auto"/>
              <w:jc w:val="both"/>
              <w:rPr>
                <w:rFonts w:cs="Calibri"/>
                <w:szCs w:val="21"/>
                <w:lang w:val="en-US" w:eastAsia="zh-CN"/>
              </w:rPr>
            </w:pPr>
            <w:r>
              <w:rPr>
                <w:rFonts w:hint="eastAsia" w:cs="Calibri"/>
                <w:szCs w:val="21"/>
                <w:lang w:val="en-US" w:eastAsia="zh-CN"/>
              </w:rPr>
              <w:t>在容量分配模式下能防止滴漏。</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25" w:edGrp="everyone"/>
          </w:p>
        </w:tc>
        <w:tc>
          <w:tcPr>
            <w:tcW w:w="7128" w:type="dxa"/>
            <w:shd w:val="clear" w:color="auto" w:fill="auto"/>
            <w:vAlign w:val="center"/>
          </w:tcPr>
          <w:p>
            <w:pPr>
              <w:spacing w:line="276" w:lineRule="auto"/>
              <w:jc w:val="both"/>
              <w:rPr>
                <w:rFonts w:cs="Calibri"/>
                <w:szCs w:val="21"/>
                <w:lang w:val="en-US" w:eastAsia="zh-CN"/>
              </w:rPr>
            </w:pPr>
            <w:r>
              <w:rPr>
                <w:color w:val="333333"/>
              </w:rPr>
              <w:t>电压/频率:</w:t>
            </w:r>
            <w:r>
              <w:rPr>
                <w:rFonts w:hint="eastAsia"/>
                <w:color w:val="333333"/>
                <w:lang w:val="en-US" w:eastAsia="zh-CN"/>
              </w:rPr>
              <w:t>22</w:t>
            </w:r>
            <w:r>
              <w:rPr>
                <w:color w:val="333333"/>
              </w:rPr>
              <w:t>0V，</w:t>
            </w:r>
            <w:r>
              <w:rPr>
                <w:rFonts w:hint="eastAsia" w:ascii="宋体" w:hAnsi="宋体" w:cs="宋体"/>
                <w:color w:val="333333"/>
                <w:szCs w:val="22"/>
                <w:highlight w:val="yellow"/>
                <w:lang w:val="en-US"/>
              </w:rPr>
              <w:t xml:space="preserve"> </w:t>
            </w:r>
            <w:r>
              <w:rPr>
                <w:rFonts w:hint="eastAsia" w:cs="Calibri"/>
                <w:szCs w:val="21"/>
                <w:lang w:val="en-US" w:eastAsia="zh-CN"/>
              </w:rPr>
              <w:t>50Hz。</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26" w:edGrp="everyone"/>
          </w:p>
        </w:tc>
        <w:tc>
          <w:tcPr>
            <w:tcW w:w="7128" w:type="dxa"/>
            <w:shd w:val="clear" w:color="auto" w:fill="auto"/>
            <w:vAlign w:val="center"/>
          </w:tcPr>
          <w:p>
            <w:pPr>
              <w:spacing w:line="276" w:lineRule="auto"/>
              <w:jc w:val="both"/>
              <w:rPr>
                <w:rFonts w:cs="Calibri"/>
                <w:szCs w:val="21"/>
                <w:lang w:val="en-US" w:eastAsia="zh-CN"/>
              </w:rPr>
            </w:pPr>
            <w:r>
              <w:rPr>
                <w:rFonts w:hint="eastAsia"/>
                <w:color w:val="333333"/>
                <w:lang w:val="en-US" w:eastAsia="zh-CN"/>
              </w:rPr>
              <w:t>最小转速控制0</w:t>
            </w:r>
            <w:r>
              <w:rPr>
                <w:color w:val="333333"/>
                <w:lang w:val="en-US" w:eastAsia="zh-CN"/>
              </w:rPr>
              <w:t xml:space="preserve">.1 </w:t>
            </w:r>
            <w:r>
              <w:rPr>
                <w:rFonts w:hint="eastAsia"/>
                <w:color w:val="333333"/>
                <w:lang w:val="en-US" w:eastAsia="zh-CN"/>
              </w:rPr>
              <w:t>rpm</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27" w:edGrp="everyone"/>
          </w:p>
        </w:tc>
        <w:tc>
          <w:tcPr>
            <w:tcW w:w="7128" w:type="dxa"/>
            <w:shd w:val="clear" w:color="auto" w:fill="auto"/>
            <w:vAlign w:val="center"/>
          </w:tcPr>
          <w:p>
            <w:pPr>
              <w:spacing w:line="276" w:lineRule="auto"/>
              <w:jc w:val="both"/>
              <w:rPr>
                <w:color w:val="333333"/>
                <w:lang w:val="en-US" w:eastAsia="zh-CN"/>
              </w:rPr>
            </w:pPr>
            <w:r>
              <w:rPr>
                <w:rFonts w:hint="eastAsia"/>
                <w:color w:val="333333"/>
                <w:lang w:val="en-US" w:eastAsia="zh-CN"/>
              </w:rPr>
              <w:t>脉冲小，精度高，耐腐蚀。</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28" w:edGrp="everyone"/>
          </w:p>
        </w:tc>
        <w:tc>
          <w:tcPr>
            <w:tcW w:w="7128" w:type="dxa"/>
            <w:shd w:val="clear" w:color="auto" w:fill="auto"/>
            <w:vAlign w:val="center"/>
          </w:tcPr>
          <w:p>
            <w:pPr>
              <w:spacing w:line="276" w:lineRule="auto"/>
              <w:jc w:val="both"/>
              <w:rPr>
                <w:lang w:eastAsia="zh-CN"/>
              </w:rPr>
            </w:pPr>
            <w:r>
              <w:rPr>
                <w:rFonts w:hint="eastAsia"/>
                <w:lang w:eastAsia="zh-CN"/>
              </w:rPr>
              <w:t>具有双向电机，可逆时针和顺时针运转。</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8"/>
              </w:numPr>
              <w:ind w:firstLineChars="0"/>
              <w:rPr>
                <w:rFonts w:ascii="Times New Roman" w:hAnsi="Times New Roman"/>
                <w:szCs w:val="21"/>
              </w:rPr>
            </w:pPr>
            <w:permStart w:id="29" w:edGrp="everyone"/>
            <w:permEnd w:id="29"/>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30" w:edGrp="everyone"/>
          </w:p>
        </w:tc>
        <w:tc>
          <w:tcPr>
            <w:tcW w:w="7128" w:type="dxa"/>
            <w:shd w:val="clear" w:color="auto" w:fill="auto"/>
            <w:vAlign w:val="center"/>
          </w:tcPr>
          <w:p>
            <w:pPr>
              <w:spacing w:line="276" w:lineRule="auto"/>
              <w:jc w:val="both"/>
              <w:rPr>
                <w:szCs w:val="21"/>
                <w:lang w:eastAsia="zh-CN"/>
              </w:rPr>
            </w:pPr>
            <w:r>
              <w:rPr>
                <w:rFonts w:hint="eastAsia"/>
                <w:color w:val="333333"/>
                <w:szCs w:val="21"/>
                <w:shd w:val="clear" w:color="auto" w:fill="FFFFFF"/>
                <w:lang w:eastAsia="zh-CN"/>
              </w:rPr>
              <w:t>泵头打开时，开头传感器停止驱动。</w:t>
            </w:r>
          </w:p>
        </w:tc>
        <w:tc>
          <w:tcPr>
            <w:tcW w:w="2125" w:type="dxa"/>
            <w:shd w:val="clear" w:color="auto" w:fill="auto"/>
            <w:vAlign w:val="center"/>
          </w:tcPr>
          <w:p>
            <w:pPr>
              <w:spacing w:line="276" w:lineRule="auto"/>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bookmarkStart w:id="28" w:name="_Toc522716122"/>
            <w:bookmarkStart w:id="29" w:name="_Toc522107742"/>
            <w:bookmarkStart w:id="30" w:name="_Toc482370151"/>
            <w:bookmarkStart w:id="31" w:name="_Toc482369815"/>
            <w:bookmarkStart w:id="32" w:name="_Toc483227237"/>
            <w:bookmarkStart w:id="33" w:name="_Toc482370071"/>
            <w:bookmarkStart w:id="34" w:name="_Toc482717202"/>
            <w:bookmarkStart w:id="35" w:name="_Toc482625289"/>
            <w:bookmarkStart w:id="36" w:name="_Toc482360291"/>
            <w:bookmarkStart w:id="37" w:name="_Toc482359946"/>
            <w:bookmarkStart w:id="38" w:name="_Toc483400317"/>
            <w:bookmarkStart w:id="39" w:name="_Toc482370767"/>
            <w:bookmarkStart w:id="40" w:name="_Toc481702480"/>
            <w:bookmarkStart w:id="41" w:name="_Toc482370359"/>
          </w:p>
        </w:tc>
        <w:tc>
          <w:tcPr>
            <w:tcW w:w="7128" w:type="dxa"/>
            <w:shd w:val="clear" w:color="auto" w:fill="auto"/>
            <w:vAlign w:val="center"/>
          </w:tcPr>
          <w:p>
            <w:pPr>
              <w:spacing w:line="276" w:lineRule="auto"/>
              <w:jc w:val="both"/>
              <w:rPr>
                <w:szCs w:val="21"/>
                <w:lang w:eastAsia="zh-CN"/>
              </w:rPr>
            </w:pPr>
            <w:r>
              <w:rPr>
                <w:rFonts w:hint="eastAsia"/>
                <w:szCs w:val="21"/>
                <w:lang w:eastAsia="zh-CN"/>
              </w:rPr>
              <w:t>蠕动泵泵头及泵体要耐酸碱,不易变形，易清洗。</w:t>
            </w:r>
          </w:p>
        </w:tc>
        <w:tc>
          <w:tcPr>
            <w:tcW w:w="2125" w:type="dxa"/>
            <w:shd w:val="clear" w:color="auto" w:fill="auto"/>
            <w:vAlign w:val="center"/>
          </w:tcPr>
          <w:p>
            <w:pPr>
              <w:spacing w:line="276" w:lineRule="auto"/>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lang w:eastAsia="zh-CN"/>
              </w:rPr>
              <w:t>使用标准尺寸的接头及泵管时，实际流速值应为设定流速的值的</w:t>
            </w:r>
            <w:r>
              <w:rPr>
                <w:rFonts w:hint="eastAsia"/>
                <w:lang w:val="en-US" w:eastAsia="zh-CN"/>
              </w:rPr>
              <w:t>±</w:t>
            </w:r>
            <w:r>
              <w:rPr>
                <w:lang w:val="en-US" w:eastAsia="zh-CN"/>
              </w:rPr>
              <w:t>1%</w:t>
            </w:r>
            <w:r>
              <w:rPr>
                <w:rFonts w:hint="eastAsia"/>
                <w:lang w:val="en-US" w:eastAsia="zh-CN"/>
              </w:rPr>
              <w:t>。</w:t>
            </w:r>
          </w:p>
        </w:tc>
        <w:tc>
          <w:tcPr>
            <w:tcW w:w="2125" w:type="dxa"/>
            <w:shd w:val="clear" w:color="auto" w:fill="auto"/>
            <w:vAlign w:val="center"/>
          </w:tcPr>
          <w:p>
            <w:pPr>
              <w:spacing w:line="276" w:lineRule="auto"/>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lang w:eastAsia="zh-CN"/>
              </w:rPr>
              <w:t>有屏锁按键防止误操作。</w:t>
            </w:r>
          </w:p>
        </w:tc>
        <w:tc>
          <w:tcPr>
            <w:tcW w:w="2125" w:type="dxa"/>
            <w:shd w:val="clear" w:color="auto" w:fill="auto"/>
            <w:vAlign w:val="center"/>
          </w:tcPr>
          <w:p>
            <w:pPr>
              <w:spacing w:line="276" w:lineRule="auto"/>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lang w:eastAsia="zh-CN"/>
              </w:rPr>
            </w:pPr>
            <w:r>
              <w:rPr>
                <w:rFonts w:hint="eastAsia"/>
                <w:lang w:eastAsia="zh-CN"/>
              </w:rPr>
              <w:t>操作界面有三级访问权限</w:t>
            </w:r>
          </w:p>
        </w:tc>
        <w:tc>
          <w:tcPr>
            <w:tcW w:w="2125" w:type="dxa"/>
            <w:shd w:val="clear" w:color="auto" w:fill="auto"/>
            <w:vAlign w:val="center"/>
          </w:tcPr>
          <w:p>
            <w:pPr>
              <w:spacing w:line="276" w:lineRule="auto"/>
              <w:jc w:val="center"/>
              <w:rPr>
                <w:szCs w:val="21"/>
                <w:lang w:val="en-US" w:eastAsia="zh-CN"/>
              </w:rPr>
            </w:pPr>
            <w:r>
              <w:rPr>
                <w:rFonts w:hint="eastAsia"/>
                <w:szCs w:val="21"/>
                <w:lang w:val="en-US" w:eastAsia="zh-CN"/>
              </w:rPr>
              <w:t>关键</w:t>
            </w:r>
          </w:p>
        </w:tc>
      </w:tr>
      <w:permEnd w:id="30"/>
    </w:tbl>
    <w:p>
      <w:pPr>
        <w:pStyle w:val="32"/>
        <w:numPr>
          <w:ilvl w:val="0"/>
          <w:numId w:val="3"/>
        </w:numPr>
        <w:spacing w:after="158" w:afterLines="50"/>
        <w:ind w:left="426" w:hanging="426" w:hangingChars="202"/>
        <w:outlineLvl w:val="0"/>
        <w:rPr>
          <w:rFonts w:ascii="Times New Roman" w:hAnsi="Times New Roman"/>
          <w:b/>
        </w:rPr>
      </w:pPr>
      <w:r>
        <w:rPr>
          <w:rFonts w:ascii="Times New Roman" w:hAnsi="Times New Roman"/>
          <w:b/>
        </w:rPr>
        <w:t>电气、自动控制要求</w:t>
      </w:r>
      <w:bookmarkEnd w:id="28"/>
    </w:p>
    <w:p>
      <w:pPr>
        <w:pStyle w:val="42"/>
        <w:spacing w:before="0" w:line="360" w:lineRule="auto"/>
        <w:ind w:left="425"/>
        <w:jc w:val="left"/>
        <w:rPr>
          <w:i/>
          <w:color w:val="4472C4"/>
          <w:szCs w:val="21"/>
          <w:lang w:eastAsia="zh-CN"/>
        </w:rPr>
      </w:pPr>
      <w:permStart w:id="31" w:edGrp="everyone"/>
    </w:p>
    <w:permEnd w:id="31"/>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32" w:edGrp="everyone"/>
          </w:p>
        </w:tc>
        <w:tc>
          <w:tcPr>
            <w:tcW w:w="7128" w:type="dxa"/>
            <w:shd w:val="clear" w:color="auto" w:fill="auto"/>
            <w:vAlign w:val="center"/>
          </w:tcPr>
          <w:p>
            <w:pPr>
              <w:spacing w:line="276" w:lineRule="auto"/>
              <w:jc w:val="both"/>
              <w:rPr>
                <w:szCs w:val="21"/>
                <w:lang w:eastAsia="zh-CN"/>
              </w:rPr>
            </w:pPr>
            <w:r>
              <w:rPr>
                <w:lang w:eastAsia="zh-CN"/>
              </w:rPr>
              <w:t>泵盖保护开关：具有开盖自动停机保护功能</w:t>
            </w:r>
            <w:r>
              <w:rPr>
                <w:rFonts w:hint="eastAsia"/>
                <w:lang w:eastAsia="zh-CN"/>
              </w:rPr>
              <w:t>。</w:t>
            </w:r>
          </w:p>
        </w:tc>
        <w:tc>
          <w:tcPr>
            <w:tcW w:w="2125" w:type="dxa"/>
            <w:shd w:val="clear" w:color="auto" w:fill="auto"/>
            <w:vAlign w:val="center"/>
          </w:tcPr>
          <w:p>
            <w:pPr>
              <w:spacing w:line="276" w:lineRule="auto"/>
              <w:jc w:val="center"/>
              <w:rPr>
                <w:lang w:val="en-US" w:eastAsia="zh-CN"/>
              </w:rPr>
            </w:pPr>
            <w:r>
              <w:rPr>
                <w:rFonts w:hint="eastAsia"/>
                <w:lang w:val="en-US" w:eastAsia="zh-CN"/>
              </w:rPr>
              <w:t>关键</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33" w:edGrp="everyone"/>
          </w:p>
        </w:tc>
        <w:tc>
          <w:tcPr>
            <w:tcW w:w="7128" w:type="dxa"/>
            <w:shd w:val="clear" w:color="auto" w:fill="auto"/>
            <w:vAlign w:val="center"/>
          </w:tcPr>
          <w:p>
            <w:pPr>
              <w:spacing w:line="276" w:lineRule="auto"/>
              <w:jc w:val="both"/>
              <w:rPr>
                <w:lang w:val="en-US" w:eastAsia="zh-CN"/>
              </w:rPr>
            </w:pPr>
            <w:r>
              <w:rPr>
                <w:rFonts w:hint="eastAsia"/>
                <w:lang w:val="en-US" w:eastAsia="zh-CN"/>
              </w:rPr>
              <w:t>能满足50-100ml/min的流量设置。</w:t>
            </w:r>
          </w:p>
        </w:tc>
        <w:tc>
          <w:tcPr>
            <w:tcW w:w="2125" w:type="dxa"/>
            <w:shd w:val="clear" w:color="auto" w:fill="auto"/>
            <w:vAlign w:val="center"/>
          </w:tcPr>
          <w:p>
            <w:pPr>
              <w:spacing w:line="276" w:lineRule="auto"/>
              <w:jc w:val="center"/>
              <w:rPr>
                <w:lang w:val="en-US" w:eastAsia="zh-CN"/>
              </w:rPr>
            </w:pPr>
            <w:r>
              <w:rPr>
                <w:rFonts w:hint="eastAsia"/>
                <w:lang w:val="en-US" w:eastAsia="zh-CN"/>
              </w:rPr>
              <w:t>关键</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34" w:edGrp="everyone"/>
          </w:p>
        </w:tc>
        <w:tc>
          <w:tcPr>
            <w:tcW w:w="7128" w:type="dxa"/>
            <w:shd w:val="clear" w:color="auto" w:fill="auto"/>
            <w:vAlign w:val="center"/>
          </w:tcPr>
          <w:p>
            <w:pPr>
              <w:spacing w:line="276" w:lineRule="auto"/>
              <w:jc w:val="both"/>
              <w:rPr>
                <w:lang w:eastAsia="zh-CN"/>
              </w:rPr>
            </w:pPr>
            <w:r>
              <w:rPr>
                <w:rFonts w:ascii="宋体" w:hAnsi="宋体" w:cs="宋体"/>
                <w:szCs w:val="21"/>
                <w:lang w:val="en-US" w:eastAsia="zh-CN"/>
              </w:rPr>
              <w:t>流量精度控制误差≤</w:t>
            </w:r>
            <w:r>
              <w:rPr>
                <w:rFonts w:hint="eastAsia" w:ascii="宋体" w:hAnsi="宋体" w:cs="宋体"/>
                <w:szCs w:val="21"/>
                <w:lang w:val="en-US" w:eastAsia="zh-CN"/>
              </w:rPr>
              <w:t>±</w:t>
            </w:r>
            <w:r>
              <w:rPr>
                <w:szCs w:val="21"/>
                <w:lang w:val="en-US" w:eastAsia="zh-CN"/>
              </w:rPr>
              <w:t>1%</w:t>
            </w:r>
          </w:p>
        </w:tc>
        <w:tc>
          <w:tcPr>
            <w:tcW w:w="2125" w:type="dxa"/>
            <w:shd w:val="clear" w:color="auto" w:fill="auto"/>
            <w:vAlign w:val="center"/>
          </w:tcPr>
          <w:p>
            <w:pPr>
              <w:spacing w:line="276" w:lineRule="auto"/>
              <w:jc w:val="center"/>
              <w:rPr>
                <w:lang w:val="en-US" w:eastAsia="zh-CN"/>
              </w:rPr>
            </w:pPr>
            <w:r>
              <w:rPr>
                <w:rFonts w:hint="eastAsia"/>
                <w:lang w:val="en-US"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2"/>
                <w:numId w:val="9"/>
              </w:numPr>
              <w:ind w:firstLineChars="0"/>
              <w:rPr>
                <w:rFonts w:ascii="Times New Roman" w:hAnsi="Times New Roman"/>
                <w:szCs w:val="21"/>
              </w:rPr>
            </w:pPr>
            <w:permStart w:id="35" w:edGrp="everyone"/>
            <w:permEnd w:id="35"/>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36" w:edGrp="everyone"/>
          </w:p>
        </w:tc>
        <w:tc>
          <w:tcPr>
            <w:tcW w:w="9253" w:type="dxa"/>
            <w:gridSpan w:val="2"/>
            <w:shd w:val="clear" w:color="auto" w:fill="auto"/>
            <w:vAlign w:val="center"/>
          </w:tcPr>
          <w:p>
            <w:pPr>
              <w:spacing w:line="276" w:lineRule="auto"/>
              <w:jc w:val="both"/>
              <w:rPr>
                <w:szCs w:val="21"/>
                <w:lang w:eastAsia="zh-CN"/>
              </w:rPr>
            </w:pPr>
          </w:p>
        </w:tc>
      </w:tr>
      <w:permEnd w:id="36"/>
    </w:tbl>
    <w:p>
      <w:pPr>
        <w:spacing w:after="158" w:afterLines="50"/>
        <w:rPr>
          <w:b/>
          <w:lang w:eastAsia="zh-CN"/>
        </w:rPr>
      </w:pPr>
    </w:p>
    <w:p>
      <w:pPr>
        <w:pStyle w:val="32"/>
        <w:numPr>
          <w:ilvl w:val="0"/>
          <w:numId w:val="3"/>
        </w:numPr>
        <w:spacing w:after="158" w:afterLines="50"/>
        <w:ind w:left="426" w:hanging="426" w:hangingChars="202"/>
        <w:outlineLvl w:val="0"/>
        <w:rPr>
          <w:rFonts w:ascii="Times New Roman" w:hAnsi="Times New Roman"/>
          <w:b/>
        </w:rPr>
      </w:pPr>
      <w:bookmarkStart w:id="42" w:name="_Toc522716123"/>
      <w:r>
        <w:rPr>
          <w:rFonts w:ascii="Times New Roman" w:hAnsi="Times New Roman"/>
          <w:b/>
        </w:rPr>
        <w:t>安全要求</w:t>
      </w:r>
      <w:bookmarkEnd w:id="29"/>
      <w:bookmarkEnd w:id="42"/>
    </w:p>
    <w:p>
      <w:pPr>
        <w:pStyle w:val="42"/>
        <w:spacing w:before="0" w:line="360" w:lineRule="auto"/>
        <w:jc w:val="left"/>
        <w:rPr>
          <w:i/>
          <w:color w:val="4472C4"/>
          <w:szCs w:val="21"/>
          <w:lang w:eastAsia="zh-CN"/>
        </w:rPr>
      </w:pPr>
      <w:permStart w:id="37" w:edGrp="everyone"/>
    </w:p>
    <w:permEnd w:id="37"/>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pStyle w:val="32"/>
              <w:ind w:firstLine="0" w:firstLineChars="0"/>
              <w:rPr>
                <w:rFonts w:ascii="Times New Roman" w:hAnsi="Times New Roman"/>
                <w:szCs w:val="21"/>
              </w:rPr>
            </w:pPr>
            <w:permStart w:id="38" w:edGrp="everyone"/>
          </w:p>
        </w:tc>
        <w:tc>
          <w:tcPr>
            <w:tcW w:w="9253" w:type="dxa"/>
            <w:gridSpan w:val="2"/>
            <w:shd w:val="clear" w:color="auto" w:fill="auto"/>
            <w:vAlign w:val="center"/>
          </w:tcPr>
          <w:p>
            <w:pPr>
              <w:jc w:val="both"/>
              <w:rPr>
                <w:szCs w:val="21"/>
                <w:lang w:eastAsia="zh-CN"/>
              </w:rPr>
            </w:pPr>
            <w:r>
              <w:rPr>
                <w:lang w:eastAsia="zh-CN"/>
              </w:rPr>
              <w:t>N/A</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10"/>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39" w:edGrp="everyone"/>
          </w:p>
        </w:tc>
        <w:tc>
          <w:tcPr>
            <w:tcW w:w="7128" w:type="dxa"/>
            <w:shd w:val="clear" w:color="auto" w:fill="auto"/>
            <w:vAlign w:val="center"/>
          </w:tcPr>
          <w:p>
            <w:pPr>
              <w:spacing w:line="276" w:lineRule="auto"/>
              <w:jc w:val="both"/>
              <w:rPr>
                <w:szCs w:val="21"/>
                <w:lang w:eastAsia="zh-CN"/>
              </w:rPr>
            </w:pPr>
            <w:r>
              <w:rPr>
                <w:rFonts w:hint="eastAsia" w:ascii="宋体" w:hAnsi="宋体"/>
                <w:szCs w:val="21"/>
                <w:lang w:val="en-US" w:eastAsia="zh-CN"/>
              </w:rPr>
              <w:t>设备有漏电保护功能（</w:t>
            </w:r>
            <w:r>
              <w:rPr>
                <w:rFonts w:hint="eastAsia"/>
                <w:lang w:val="en-US" w:eastAsia="zh-CN"/>
              </w:rPr>
              <w:t>过流保护功能，电气设备的金属外壳要有良好的接地）。</w:t>
            </w:r>
          </w:p>
        </w:tc>
        <w:tc>
          <w:tcPr>
            <w:tcW w:w="2125" w:type="dxa"/>
            <w:shd w:val="clear" w:color="auto" w:fill="auto"/>
            <w:vAlign w:val="center"/>
          </w:tcPr>
          <w:p>
            <w:pPr>
              <w:spacing w:line="276" w:lineRule="auto"/>
              <w:jc w:val="center"/>
              <w:rPr>
                <w:rFonts w:ascii="宋体" w:hAnsi="宋体" w:cs="宋体"/>
                <w:szCs w:val="21"/>
                <w:lang w:val="en-US" w:eastAsia="zh-CN"/>
              </w:rPr>
            </w:pPr>
            <w:r>
              <w:rPr>
                <w:rFonts w:hint="eastAsia" w:ascii="宋体" w:hAnsi="宋体" w:cs="宋体"/>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szCs w:val="21"/>
                <w:lang w:val="en-US" w:eastAsia="zh-CN"/>
              </w:rPr>
            </w:pPr>
            <w:r>
              <w:rPr>
                <w:rFonts w:hint="eastAsia" w:ascii="宋体" w:hAnsi="宋体"/>
                <w:szCs w:val="21"/>
                <w:lang w:val="en-US" w:eastAsia="zh-CN"/>
              </w:rPr>
              <w:t>日常维护中要确保操作人员不会暴露在危险环境下；设备不能有锋利的边缘，以防止伤害到操作人员；设备带有接地防静电措施。</w:t>
            </w:r>
          </w:p>
        </w:tc>
        <w:tc>
          <w:tcPr>
            <w:tcW w:w="2125" w:type="dxa"/>
            <w:shd w:val="clear" w:color="auto" w:fill="auto"/>
            <w:vAlign w:val="center"/>
          </w:tcPr>
          <w:p>
            <w:pPr>
              <w:spacing w:line="276" w:lineRule="auto"/>
              <w:jc w:val="center"/>
              <w:rPr>
                <w:rFonts w:ascii="宋体" w:hAnsi="宋体" w:cs="宋体"/>
                <w:szCs w:val="21"/>
                <w:lang w:val="en-US" w:eastAsia="zh-CN"/>
              </w:rPr>
            </w:pPr>
            <w:r>
              <w:rPr>
                <w:rFonts w:hint="eastAsia" w:ascii="宋体" w:hAnsi="宋体" w:cs="宋体"/>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szCs w:val="21"/>
                <w:lang w:val="en-US" w:eastAsia="zh-CN"/>
              </w:rPr>
            </w:pPr>
            <w:r>
              <w:t>有断电保护</w:t>
            </w:r>
            <w:r>
              <w:rPr>
                <w:rFonts w:hint="eastAsia"/>
                <w:lang w:eastAsia="zh-CN"/>
              </w:rPr>
              <w:t>功能</w:t>
            </w:r>
            <w:r>
              <w:t>。</w:t>
            </w:r>
          </w:p>
        </w:tc>
        <w:tc>
          <w:tcPr>
            <w:tcW w:w="2125" w:type="dxa"/>
            <w:shd w:val="clear" w:color="auto" w:fill="auto"/>
            <w:vAlign w:val="center"/>
          </w:tcPr>
          <w:p>
            <w:pPr>
              <w:spacing w:line="276" w:lineRule="auto"/>
              <w:jc w:val="center"/>
              <w:rPr>
                <w:rFonts w:ascii="宋体" w:hAnsi="宋体" w:cs="宋体"/>
                <w:szCs w:val="21"/>
                <w:lang w:val="en-US" w:eastAsia="zh-CN"/>
              </w:rPr>
            </w:pPr>
            <w:r>
              <w:rPr>
                <w:rFonts w:hint="eastAsia" w:ascii="宋体" w:hAnsi="宋体" w:cs="宋体"/>
                <w:szCs w:val="21"/>
                <w:lang w:val="en-US" w:eastAsia="zh-CN"/>
              </w:rPr>
              <w:t>关键</w:t>
            </w:r>
          </w:p>
        </w:tc>
      </w:tr>
      <w:permEnd w:id="39"/>
    </w:tbl>
    <w:p>
      <w:pPr>
        <w:rPr>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43" w:name="_Toc522716124"/>
      <w:bookmarkStart w:id="44" w:name="_Toc522107743"/>
      <w:r>
        <w:rPr>
          <w:rFonts w:ascii="Times New Roman" w:hAnsi="Times New Roman"/>
          <w:b/>
        </w:rPr>
        <w:t>文件要求</w:t>
      </w:r>
      <w:bookmarkEnd w:id="43"/>
      <w:bookmarkEnd w:id="44"/>
    </w:p>
    <w:p>
      <w:pPr>
        <w:pStyle w:val="42"/>
        <w:spacing w:before="0" w:line="360" w:lineRule="auto"/>
        <w:ind w:left="357"/>
        <w:jc w:val="left"/>
        <w:rPr>
          <w:i/>
          <w:szCs w:val="21"/>
          <w:lang w:eastAsia="zh-CN"/>
        </w:rPr>
      </w:pPr>
      <w:permStart w:id="40" w:edGrp="everyone"/>
    </w:p>
    <w:permEnd w:id="40"/>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1" w:edGrp="everyone"/>
          </w:p>
        </w:tc>
        <w:tc>
          <w:tcPr>
            <w:tcW w:w="7128" w:type="dxa"/>
            <w:shd w:val="clear" w:color="auto" w:fill="auto"/>
            <w:vAlign w:val="center"/>
          </w:tcPr>
          <w:p>
            <w:pPr>
              <w:jc w:val="both"/>
              <w:rPr>
                <w:szCs w:val="21"/>
                <w:lang w:eastAsia="zh-CN"/>
              </w:rPr>
            </w:pPr>
            <w:r>
              <w:rPr>
                <w:rFonts w:hint="eastAsia"/>
                <w:szCs w:val="21"/>
                <w:lang w:eastAsia="zh-CN"/>
              </w:rPr>
              <w:t>投标文件、合同及订单。</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2" w:edGrp="everyone"/>
          </w:p>
        </w:tc>
        <w:tc>
          <w:tcPr>
            <w:tcW w:w="7128" w:type="dxa"/>
            <w:shd w:val="clear" w:color="auto" w:fill="auto"/>
            <w:vAlign w:val="center"/>
          </w:tcPr>
          <w:p>
            <w:pPr>
              <w:jc w:val="both"/>
              <w:rPr>
                <w:szCs w:val="21"/>
                <w:lang w:eastAsia="zh-CN"/>
              </w:rPr>
            </w:pPr>
            <w:r>
              <w:rPr>
                <w:rFonts w:hint="eastAsia"/>
                <w:szCs w:val="21"/>
                <w:lang w:eastAsia="zh-CN"/>
              </w:rPr>
              <w:t>供应商应提供所有组件、系统功能配置清单、说明书及合格证书，包含各组件名称、编号、型号、规格、品牌、材质等，需设备开箱验收时提交。</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3" w:edGrp="everyone"/>
          </w:p>
        </w:tc>
        <w:tc>
          <w:tcPr>
            <w:tcW w:w="7128" w:type="dxa"/>
            <w:shd w:val="clear" w:color="auto" w:fill="auto"/>
            <w:vAlign w:val="center"/>
          </w:tcPr>
          <w:p>
            <w:pPr>
              <w:jc w:val="both"/>
              <w:rPr>
                <w:szCs w:val="21"/>
                <w:lang w:eastAsia="zh-CN"/>
              </w:rPr>
            </w:pPr>
            <w:r>
              <w:rPr>
                <w:rFonts w:hint="eastAsia" w:ascii="Calibri" w:hAnsi="Calibri" w:cs="Calibri"/>
                <w:lang w:eastAsia="zh-CN"/>
              </w:rPr>
              <w:t>卖方发运清单及相关检验报告（如说明、清单、证书、报告、验证文件、调试文件等）</w:t>
            </w:r>
            <w:r>
              <w:rPr>
                <w:rFonts w:hint="eastAsia" w:ascii="Calibri" w:hAnsi="Calibri" w:cs="Calibri"/>
                <w:szCs w:val="22"/>
                <w:lang w:eastAsia="zh-CN"/>
              </w:rPr>
              <w:t>需设备开箱验收时提交。</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4" w:edGrp="everyone"/>
          </w:p>
        </w:tc>
        <w:tc>
          <w:tcPr>
            <w:tcW w:w="7128" w:type="dxa"/>
            <w:shd w:val="clear" w:color="auto" w:fill="auto"/>
            <w:vAlign w:val="center"/>
          </w:tcPr>
          <w:p>
            <w:pPr>
              <w:jc w:val="both"/>
              <w:rPr>
                <w:szCs w:val="21"/>
                <w:lang w:eastAsia="zh-CN"/>
              </w:rPr>
            </w:pPr>
            <w:r>
              <w:rPr>
                <w:rFonts w:hint="eastAsia"/>
                <w:szCs w:val="21"/>
                <w:lang w:val="en-US" w:eastAsia="zh-CN"/>
              </w:rPr>
              <w:t>系统设计规格、功能配置清单&amp;功能说明，包含各组件名称、编号、型号、规格、品牌、材质等。</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5" w:edGrp="everyone"/>
          </w:p>
        </w:tc>
        <w:tc>
          <w:tcPr>
            <w:tcW w:w="7128" w:type="dxa"/>
            <w:shd w:val="clear" w:color="auto" w:fill="auto"/>
            <w:vAlign w:val="center"/>
          </w:tcPr>
          <w:p>
            <w:pPr>
              <w:jc w:val="both"/>
              <w:rPr>
                <w:szCs w:val="21"/>
                <w:lang w:eastAsia="zh-CN"/>
              </w:rPr>
            </w:pPr>
            <w:r>
              <w:rPr>
                <w:rFonts w:hint="eastAsia"/>
                <w:szCs w:val="21"/>
                <w:lang w:val="en-US" w:eastAsia="zh-CN"/>
              </w:rPr>
              <w:t>设备操作手册（SOP）：语言为中文，应说明校准周期，并能提供校准服务。</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lang w:val="en-US" w:eastAsia="zh-CN"/>
              </w:rPr>
            </w:pPr>
            <w:r>
              <w:rPr>
                <w:rFonts w:hint="eastAsia" w:cs="宋体"/>
                <w:lang w:val="en-US" w:eastAsia="zh-CN"/>
              </w:rPr>
              <w:t>提交文件时限要求</w:t>
            </w:r>
          </w:p>
          <w:p>
            <w:pPr>
              <w:pStyle w:val="17"/>
              <w:spacing w:after="120" w:line="360" w:lineRule="auto"/>
              <w:rPr>
                <w:sz w:val="21"/>
                <w:szCs w:val="21"/>
                <w:lang w:val="en-US" w:eastAsia="zh-CN"/>
              </w:rPr>
            </w:pPr>
            <w:r>
              <w:rPr>
                <w:sz w:val="21"/>
                <w:szCs w:val="21"/>
                <w:lang w:val="en-US" w:eastAsia="zh-CN"/>
              </w:rPr>
              <w:t>1.</w:t>
            </w:r>
            <w:r>
              <w:rPr>
                <w:rFonts w:hint="eastAsia" w:cs="宋体"/>
                <w:sz w:val="21"/>
                <w:szCs w:val="21"/>
                <w:lang w:val="en-US" w:eastAsia="zh-CN"/>
              </w:rPr>
              <w:t>报警及各种报警产生的原因和处理建议清单。提交阶段设备开箱验收。</w:t>
            </w:r>
          </w:p>
          <w:p>
            <w:pPr>
              <w:pStyle w:val="17"/>
              <w:spacing w:after="120" w:line="360" w:lineRule="auto"/>
              <w:rPr>
                <w:sz w:val="21"/>
                <w:szCs w:val="21"/>
                <w:lang w:val="en-US" w:eastAsia="zh-CN"/>
              </w:rPr>
            </w:pPr>
            <w:r>
              <w:rPr>
                <w:sz w:val="21"/>
                <w:szCs w:val="21"/>
                <w:lang w:val="en-US" w:eastAsia="zh-CN"/>
              </w:rPr>
              <w:t>2.</w:t>
            </w:r>
            <w:r>
              <w:rPr>
                <w:rFonts w:hint="eastAsia" w:cs="宋体"/>
                <w:sz w:val="21"/>
                <w:szCs w:val="21"/>
                <w:lang w:val="en-US" w:eastAsia="zh-CN"/>
              </w:rPr>
              <w:t>投标文件、合同及订单。提交阶段设备开箱验收。</w:t>
            </w:r>
          </w:p>
          <w:p>
            <w:pPr>
              <w:pStyle w:val="17"/>
              <w:spacing w:after="120" w:line="360" w:lineRule="auto"/>
              <w:rPr>
                <w:sz w:val="21"/>
                <w:szCs w:val="21"/>
                <w:lang w:val="en-US" w:eastAsia="zh-CN"/>
              </w:rPr>
            </w:pPr>
            <w:r>
              <w:rPr>
                <w:sz w:val="21"/>
                <w:szCs w:val="21"/>
                <w:lang w:val="en-US" w:eastAsia="zh-CN"/>
              </w:rPr>
              <w:t>3.</w:t>
            </w:r>
            <w:r>
              <w:rPr>
                <w:rFonts w:hint="eastAsia" w:cs="宋体"/>
                <w:sz w:val="21"/>
                <w:szCs w:val="21"/>
                <w:lang w:val="en-US" w:eastAsia="zh-CN"/>
              </w:rPr>
              <w:t>卖方发运清单及相关检验报告。提交阶段设备开箱验收。</w:t>
            </w:r>
          </w:p>
          <w:p>
            <w:pPr>
              <w:pStyle w:val="17"/>
              <w:spacing w:after="120" w:line="360" w:lineRule="auto"/>
              <w:rPr>
                <w:sz w:val="21"/>
                <w:szCs w:val="21"/>
                <w:lang w:val="en-US" w:eastAsia="zh-CN"/>
              </w:rPr>
            </w:pPr>
            <w:r>
              <w:rPr>
                <w:sz w:val="21"/>
                <w:szCs w:val="21"/>
                <w:lang w:val="en-US" w:eastAsia="zh-CN"/>
              </w:rPr>
              <w:t>4.</w:t>
            </w:r>
            <w:r>
              <w:rPr>
                <w:rFonts w:hint="eastAsia" w:cs="宋体"/>
                <w:sz w:val="21"/>
                <w:szCs w:val="21"/>
                <w:lang w:val="en-US" w:eastAsia="zh-CN"/>
              </w:rPr>
              <w:t>系统功能配置清单及说明，包含各组件名称、编号、型号、规格、品牌、材质等。提交阶段设备开箱验收。</w:t>
            </w:r>
          </w:p>
          <w:p>
            <w:pPr>
              <w:pStyle w:val="17"/>
              <w:spacing w:after="120" w:line="360" w:lineRule="auto"/>
              <w:rPr>
                <w:sz w:val="21"/>
                <w:szCs w:val="21"/>
                <w:lang w:val="en-US" w:eastAsia="zh-CN"/>
              </w:rPr>
            </w:pPr>
            <w:r>
              <w:rPr>
                <w:sz w:val="21"/>
                <w:szCs w:val="21"/>
                <w:lang w:val="en-US" w:eastAsia="zh-CN"/>
              </w:rPr>
              <w:t>5.</w:t>
            </w:r>
            <w:r>
              <w:rPr>
                <w:rFonts w:hint="eastAsia" w:cs="宋体"/>
                <w:sz w:val="21"/>
                <w:szCs w:val="21"/>
                <w:lang w:val="en-US" w:eastAsia="zh-CN"/>
              </w:rPr>
              <w:t>部件、备件、仪表清单：包括名称、编号、对应厂家名称、生产地、规格及必要说明。提交阶段设备开箱验收。</w:t>
            </w:r>
          </w:p>
          <w:p>
            <w:pPr>
              <w:pStyle w:val="17"/>
              <w:spacing w:after="120" w:line="360" w:lineRule="auto"/>
              <w:rPr>
                <w:sz w:val="21"/>
                <w:szCs w:val="21"/>
                <w:lang w:val="en-US" w:eastAsia="zh-CN"/>
              </w:rPr>
            </w:pPr>
            <w:r>
              <w:rPr>
                <w:sz w:val="21"/>
                <w:szCs w:val="21"/>
                <w:lang w:val="en-US" w:eastAsia="zh-CN"/>
              </w:rPr>
              <w:t>6.</w:t>
            </w:r>
            <w:r>
              <w:rPr>
                <w:rFonts w:hint="eastAsia" w:cs="宋体"/>
                <w:sz w:val="21"/>
                <w:szCs w:val="21"/>
                <w:lang w:val="en-US" w:eastAsia="zh-CN"/>
              </w:rPr>
              <w:t>调试文件：调试计划、调试方案、设备测试记录，检测清单，测试报告，调试总结报告、现场验收报告等。提交阶段设备开箱验收。</w:t>
            </w:r>
          </w:p>
          <w:p>
            <w:pPr>
              <w:pStyle w:val="17"/>
              <w:spacing w:after="120" w:line="360" w:lineRule="auto"/>
              <w:rPr>
                <w:sz w:val="21"/>
                <w:szCs w:val="21"/>
                <w:lang w:val="en-US" w:eastAsia="zh-CN"/>
              </w:rPr>
            </w:pPr>
            <w:r>
              <w:rPr>
                <w:sz w:val="21"/>
                <w:szCs w:val="21"/>
                <w:lang w:val="en-US" w:eastAsia="zh-CN"/>
              </w:rPr>
              <w:t>7.</w:t>
            </w:r>
            <w:r>
              <w:rPr>
                <w:rFonts w:hint="eastAsia" w:cs="宋体"/>
                <w:sz w:val="21"/>
                <w:szCs w:val="21"/>
                <w:lang w:val="en-US" w:eastAsia="zh-CN"/>
              </w:rPr>
              <w:t>设备交付计划表。提交阶段设备开箱验收。</w:t>
            </w:r>
          </w:p>
          <w:p>
            <w:pPr>
              <w:pStyle w:val="17"/>
              <w:spacing w:after="120" w:line="360" w:lineRule="auto"/>
              <w:rPr>
                <w:rFonts w:ascii="宋体" w:hAnsi="宋体" w:cs="宋体"/>
                <w:szCs w:val="22"/>
                <w:highlight w:val="yellow"/>
                <w:lang w:val="en-US" w:eastAsia="zh-CN"/>
              </w:rPr>
            </w:pPr>
            <w:r>
              <w:rPr>
                <w:sz w:val="21"/>
                <w:szCs w:val="21"/>
                <w:lang w:val="en-US" w:eastAsia="zh-CN"/>
              </w:rPr>
              <w:t>8.</w:t>
            </w:r>
            <w:r>
              <w:rPr>
                <w:rFonts w:hint="eastAsia" w:cs="宋体"/>
                <w:sz w:val="21"/>
                <w:szCs w:val="21"/>
                <w:lang w:val="en-US" w:eastAsia="zh-CN"/>
              </w:rPr>
              <w:t>使用操作说明书及维护保养说明（即运行及维护手册）</w:t>
            </w:r>
            <w:r>
              <w:rPr>
                <w:sz w:val="21"/>
                <w:szCs w:val="21"/>
                <w:lang w:val="en-US" w:eastAsia="zh-CN"/>
              </w:rPr>
              <w:t>3</w:t>
            </w:r>
            <w:r>
              <w:rPr>
                <w:rFonts w:hint="eastAsia" w:cs="宋体"/>
                <w:sz w:val="21"/>
                <w:szCs w:val="21"/>
                <w:lang w:val="en-US" w:eastAsia="zh-CN"/>
              </w:rPr>
              <w:t>份。提交阶段设备开箱验收。</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rFonts w:ascii="宋体" w:hAnsi="宋体" w:cs="宋体"/>
                <w:szCs w:val="22"/>
                <w:highlight w:val="yellow"/>
                <w:lang w:val="en-US" w:eastAsia="zh-CN"/>
              </w:rPr>
            </w:pPr>
            <w:r>
              <w:rPr>
                <w:rFonts w:hint="eastAsia"/>
                <w:color w:val="000000"/>
                <w:lang w:val="en-US" w:eastAsia="zh-CN"/>
              </w:rPr>
              <w:t>使用操作说明书及维护保养说明（即运行及维护手册）</w:t>
            </w:r>
            <w:r>
              <w:rPr>
                <w:color w:val="000000"/>
                <w:lang w:val="en-US" w:eastAsia="zh-CN"/>
              </w:rPr>
              <w:t>3</w:t>
            </w:r>
            <w:r>
              <w:rPr>
                <w:rFonts w:hint="eastAsia"/>
                <w:color w:val="000000"/>
                <w:lang w:val="en-US" w:eastAsia="zh-CN"/>
              </w:rPr>
              <w:t>份。</w:t>
            </w:r>
          </w:p>
        </w:tc>
        <w:tc>
          <w:tcPr>
            <w:tcW w:w="2125" w:type="dxa"/>
            <w:shd w:val="clear" w:color="auto" w:fill="auto"/>
            <w:vAlign w:val="center"/>
          </w:tcPr>
          <w:p>
            <w:pPr>
              <w:jc w:val="center"/>
              <w:rPr>
                <w:szCs w:val="21"/>
                <w:lang w:val="en-US" w:eastAsia="zh-CN"/>
              </w:rPr>
            </w:pPr>
            <w:r>
              <w:rPr>
                <w:rFonts w:hint="eastAsia"/>
                <w:iCs/>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rFonts w:ascii="宋体" w:hAnsi="宋体" w:cs="宋体"/>
                <w:szCs w:val="22"/>
                <w:highlight w:val="yellow"/>
                <w:lang w:val="en-US" w:eastAsia="zh-CN"/>
              </w:rPr>
            </w:pPr>
            <w:r>
              <w:rPr>
                <w:rFonts w:hint="eastAsia"/>
                <w:color w:val="000000"/>
                <w:lang w:val="en-US" w:eastAsia="zh-CN"/>
              </w:rPr>
              <w:t>提供设备及其零部件使用寿命清单。</w:t>
            </w:r>
          </w:p>
        </w:tc>
        <w:tc>
          <w:tcPr>
            <w:tcW w:w="2125" w:type="dxa"/>
            <w:shd w:val="clear" w:color="auto" w:fill="auto"/>
            <w:vAlign w:val="center"/>
          </w:tcPr>
          <w:p>
            <w:pPr>
              <w:jc w:val="center"/>
              <w:rPr>
                <w:szCs w:val="21"/>
                <w:lang w:val="en-US" w:eastAsia="zh-CN"/>
              </w:rPr>
            </w:pPr>
            <w:r>
              <w:rPr>
                <w:rFonts w:hint="eastAsia"/>
                <w:iCs/>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rFonts w:ascii="宋体" w:hAnsi="宋体" w:cs="宋体"/>
                <w:szCs w:val="22"/>
                <w:highlight w:val="yellow"/>
                <w:lang w:val="en-US" w:eastAsia="zh-CN"/>
              </w:rPr>
            </w:pPr>
            <w:r>
              <w:rPr>
                <w:rFonts w:hint="eastAsia" w:ascii="Calibri" w:hAnsi="Calibri" w:cs="Calibri"/>
                <w:lang w:eastAsia="zh-CN"/>
              </w:rPr>
              <w:t>上述条款规定的文件需提供电子版，并在设备开箱验收时将最终批准的电子版全套资料交工程技术部存档，不直接影响系统。</w:t>
            </w:r>
          </w:p>
        </w:tc>
        <w:tc>
          <w:tcPr>
            <w:tcW w:w="2125" w:type="dxa"/>
            <w:shd w:val="clear" w:color="auto" w:fill="auto"/>
            <w:vAlign w:val="center"/>
          </w:tcPr>
          <w:p>
            <w:pPr>
              <w:jc w:val="center"/>
              <w:rPr>
                <w:szCs w:val="21"/>
                <w:lang w:val="en-US" w:eastAsia="zh-CN"/>
              </w:rPr>
            </w:pPr>
            <w:r>
              <w:rPr>
                <w:rFonts w:hint="eastAsia"/>
                <w:iCs/>
                <w:szCs w:val="21"/>
                <w:lang w:val="en-US" w:eastAsia="zh-CN"/>
              </w:rPr>
              <w:t>关键</w:t>
            </w:r>
          </w:p>
        </w:tc>
      </w:tr>
      <w:permEnd w:id="45"/>
    </w:tbl>
    <w:p>
      <w:pPr>
        <w:rPr>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45" w:name="_Toc522716125"/>
      <w:r>
        <w:rPr>
          <w:rFonts w:ascii="Times New Roman" w:hAnsi="Times New Roman"/>
          <w:b/>
          <w:szCs w:val="21"/>
        </w:rPr>
        <w:t>服务要求</w:t>
      </w:r>
      <w:bookmarkEnd w:id="45"/>
    </w:p>
    <w:p>
      <w:pPr>
        <w:pStyle w:val="42"/>
        <w:spacing w:before="0" w:line="360" w:lineRule="auto"/>
        <w:ind w:left="357"/>
        <w:jc w:val="left"/>
        <w:rPr>
          <w:i/>
          <w:color w:val="4472C4"/>
          <w:szCs w:val="21"/>
          <w:lang w:eastAsia="zh-CN"/>
        </w:rPr>
      </w:pPr>
      <w:permStart w:id="46" w:edGrp="everyone"/>
    </w:p>
    <w:permEnd w:id="46"/>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ind w:left="426" w:firstLine="0" w:firstLineChars="0"/>
              <w:rPr>
                <w:rFonts w:ascii="Times New Roman" w:hAnsi="Times New Roman"/>
                <w:sz w:val="18"/>
                <w:szCs w:val="18"/>
              </w:rPr>
            </w:pPr>
            <w:r>
              <w:rPr>
                <w:rFonts w:hint="eastAsia" w:ascii="Times New Roman" w:hAnsi="Times New Roman"/>
                <w:szCs w:val="21"/>
              </w:rPr>
              <w:t>11.1</w:t>
            </w:r>
          </w:p>
        </w:tc>
        <w:tc>
          <w:tcPr>
            <w:tcW w:w="9253"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7" w:edGrp="everyone"/>
          </w:p>
        </w:tc>
        <w:tc>
          <w:tcPr>
            <w:tcW w:w="7128" w:type="dxa"/>
            <w:shd w:val="clear" w:color="auto" w:fill="auto"/>
            <w:vAlign w:val="center"/>
          </w:tcPr>
          <w:p>
            <w:pPr>
              <w:spacing w:line="276" w:lineRule="auto"/>
              <w:jc w:val="both"/>
              <w:rPr>
                <w:szCs w:val="21"/>
                <w:lang w:eastAsia="zh-CN"/>
              </w:rPr>
            </w:pPr>
            <w:r>
              <w:rPr>
                <w:color w:val="000000"/>
                <w:lang w:eastAsia="zh-CN"/>
              </w:rPr>
              <w:t>设备供应商应免费对设备使用方人员进行全面培训，包括对生产操作人员及设备维护、维修人员，并填写培训记录。</w:t>
            </w:r>
          </w:p>
        </w:tc>
        <w:tc>
          <w:tcPr>
            <w:tcW w:w="2125" w:type="dxa"/>
            <w:shd w:val="clear" w:color="auto" w:fill="auto"/>
            <w:vAlign w:val="center"/>
          </w:tcPr>
          <w:p>
            <w:pPr>
              <w:jc w:val="center"/>
              <w:rPr>
                <w:szCs w:val="21"/>
                <w:lang w:eastAsia="zh-CN"/>
              </w:rPr>
            </w:pPr>
            <w:r>
              <w:rPr>
                <w:rFonts w:hint="eastAsia"/>
                <w:iCs/>
                <w:szCs w:val="21"/>
                <w:lang w:val="en-US" w:eastAsia="zh-CN"/>
              </w:rPr>
              <w:t>关键</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8" w:edGrp="everyone"/>
          </w:p>
        </w:tc>
        <w:tc>
          <w:tcPr>
            <w:tcW w:w="7128" w:type="dxa"/>
            <w:shd w:val="clear" w:color="auto" w:fill="auto"/>
            <w:vAlign w:val="center"/>
          </w:tcPr>
          <w:p>
            <w:pPr>
              <w:spacing w:line="276" w:lineRule="auto"/>
              <w:jc w:val="both"/>
              <w:rPr>
                <w:rFonts w:ascii="Calibri" w:hAnsi="Calibri" w:cs="Calibri"/>
                <w:lang w:eastAsia="zh-CN"/>
              </w:rPr>
            </w:pPr>
            <w:r>
              <w:rPr>
                <w:rFonts w:hint="eastAsia" w:ascii="Calibri" w:hAnsi="Calibri" w:cs="Calibri"/>
                <w:lang w:eastAsia="zh-CN"/>
              </w:rPr>
              <w:t>厂家需提供常规故障处理手册，手册中应将故障代码的相关说明及处理方法标示清楚，便于维修人员及时处理蠕动泵故障。</w:t>
            </w:r>
          </w:p>
          <w:p>
            <w:pPr>
              <w:spacing w:line="276" w:lineRule="auto"/>
              <w:jc w:val="both"/>
              <w:rPr>
                <w:szCs w:val="21"/>
                <w:lang w:eastAsia="zh-CN"/>
              </w:rPr>
            </w:pPr>
            <w:r>
              <w:rPr>
                <w:rFonts w:ascii="Calibri" w:hAnsi="Calibri" w:cs="Calibri"/>
                <w:lang w:eastAsia="zh-CN"/>
              </w:rPr>
              <w:t>生产操作人员培训包括设备结构原理、性能、操作、清洗消毒</w:t>
            </w:r>
            <w:r>
              <w:rPr>
                <w:color w:val="000000"/>
                <w:lang w:eastAsia="zh-CN"/>
              </w:rPr>
              <w:t>、故障排除等基本</w:t>
            </w:r>
            <w:r>
              <w:rPr>
                <w:color w:val="000000"/>
                <w:szCs w:val="21"/>
                <w:lang w:eastAsia="zh-CN"/>
              </w:rPr>
              <w:t>知识</w:t>
            </w:r>
            <w:r>
              <w:rPr>
                <w:color w:val="000000"/>
                <w:lang w:eastAsia="zh-CN"/>
              </w:rPr>
              <w:t>。合格标准为用户参加培训人员能够独立正确操作设备，会排除常见故障。</w:t>
            </w:r>
          </w:p>
        </w:tc>
        <w:tc>
          <w:tcPr>
            <w:tcW w:w="2125" w:type="dxa"/>
            <w:shd w:val="clear" w:color="auto" w:fill="auto"/>
            <w:vAlign w:val="center"/>
          </w:tcPr>
          <w:p>
            <w:pPr>
              <w:jc w:val="center"/>
              <w:rPr>
                <w:szCs w:val="21"/>
                <w:lang w:eastAsia="zh-CN"/>
              </w:rPr>
            </w:pPr>
            <w:r>
              <w:rPr>
                <w:rFonts w:hint="eastAsia"/>
                <w:iCs/>
                <w:szCs w:val="21"/>
                <w:lang w:val="en-US" w:eastAsia="zh-CN"/>
              </w:rPr>
              <w:t>关键</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9" w:edGrp="everyone"/>
          </w:p>
        </w:tc>
        <w:tc>
          <w:tcPr>
            <w:tcW w:w="7128" w:type="dxa"/>
            <w:shd w:val="clear" w:color="auto" w:fill="auto"/>
            <w:vAlign w:val="center"/>
          </w:tcPr>
          <w:p>
            <w:pPr>
              <w:spacing w:line="276" w:lineRule="auto"/>
              <w:jc w:val="both"/>
              <w:rPr>
                <w:szCs w:val="21"/>
                <w:lang w:eastAsia="zh-CN"/>
              </w:rPr>
            </w:pPr>
            <w:r>
              <w:rPr>
                <w:color w:val="000000"/>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shd w:val="clear" w:color="auto" w:fill="auto"/>
            <w:vAlign w:val="center"/>
          </w:tcPr>
          <w:p>
            <w:pPr>
              <w:jc w:val="center"/>
              <w:rPr>
                <w:szCs w:val="21"/>
                <w:lang w:eastAsia="zh-CN"/>
              </w:rPr>
            </w:pPr>
            <w:r>
              <w:rPr>
                <w:rFonts w:hint="eastAsia"/>
                <w:iCs/>
                <w:szCs w:val="21"/>
                <w:lang w:val="en-US" w:eastAsia="zh-CN"/>
              </w:rPr>
              <w:t>关键</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ind w:left="426" w:firstLine="0" w:firstLineChars="0"/>
              <w:rPr>
                <w:rFonts w:ascii="Times New Roman" w:hAnsi="Times New Roman"/>
                <w:szCs w:val="21"/>
              </w:rPr>
            </w:pPr>
            <w:r>
              <w:rPr>
                <w:rFonts w:hint="eastAsia" w:ascii="Times New Roman" w:hAnsi="Times New Roman"/>
                <w:szCs w:val="21"/>
              </w:rPr>
              <w:t>11.2</w:t>
            </w: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50" w:edGrp="everyone"/>
          </w:p>
        </w:tc>
        <w:tc>
          <w:tcPr>
            <w:tcW w:w="7128" w:type="dxa"/>
            <w:shd w:val="clear" w:color="auto" w:fill="auto"/>
            <w:vAlign w:val="center"/>
          </w:tcPr>
          <w:p>
            <w:pPr>
              <w:spacing w:line="276" w:lineRule="auto"/>
              <w:jc w:val="both"/>
              <w:rPr>
                <w:szCs w:val="21"/>
                <w:lang w:eastAsia="zh-CN"/>
              </w:rPr>
            </w:pPr>
            <w:r>
              <w:rPr>
                <w:rFonts w:hint="eastAsia"/>
                <w:lang w:val="en-US" w:eastAsia="zh-CN"/>
              </w:rPr>
              <w:t>泵</w:t>
            </w:r>
            <w:r>
              <w:rPr>
                <w:rFonts w:hint="eastAsia"/>
                <w:lang w:eastAsia="zh-CN"/>
              </w:rPr>
              <w:t>在运输途中需做好防护措施，不得有任何损伤，不得有</w:t>
            </w:r>
            <w:r>
              <w:rPr>
                <w:rFonts w:hint="eastAsia"/>
                <w:lang w:val="en-US" w:eastAsia="zh-CN"/>
              </w:rPr>
              <w:t>污渍</w:t>
            </w:r>
            <w:r>
              <w:rPr>
                <w:rFonts w:hint="eastAsia"/>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ind w:left="426" w:firstLine="0" w:firstLineChars="0"/>
              <w:rPr>
                <w:rFonts w:ascii="Times New Roman" w:hAnsi="Times New Roman"/>
                <w:szCs w:val="21"/>
              </w:rPr>
            </w:pPr>
            <w:r>
              <w:rPr>
                <w:rFonts w:hint="eastAsia" w:ascii="Times New Roman" w:hAnsi="Times New Roman"/>
                <w:szCs w:val="21"/>
              </w:rPr>
              <w:t>11.3</w:t>
            </w: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51" w:edGrp="everyone"/>
          </w:p>
        </w:tc>
        <w:tc>
          <w:tcPr>
            <w:tcW w:w="7128" w:type="dxa"/>
            <w:shd w:val="clear" w:color="auto" w:fill="auto"/>
            <w:vAlign w:val="center"/>
          </w:tcPr>
          <w:p>
            <w:pPr>
              <w:rPr>
                <w:color w:val="000000"/>
                <w:lang w:val="en-US" w:eastAsia="zh-CN"/>
              </w:rPr>
            </w:pPr>
            <w:r>
              <w:rPr>
                <w:rFonts w:hint="eastAsia"/>
                <w:color w:val="000000"/>
                <w:lang w:val="en-US" w:eastAsia="zh-CN"/>
              </w:rPr>
              <w:t>验证文件：</w:t>
            </w:r>
          </w:p>
          <w:p>
            <w:pPr>
              <w:rPr>
                <w:lang w:eastAsia="zh-CN"/>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）满足</w:t>
            </w:r>
            <w:r>
              <w:rPr>
                <w:rFonts w:ascii="宋体" w:hAnsi="宋体" w:cs="宋体"/>
                <w:lang w:eastAsia="zh-CN"/>
              </w:rPr>
              <w:t>GMP</w:t>
            </w:r>
            <w:r>
              <w:rPr>
                <w:rFonts w:hint="eastAsia" w:ascii="宋体" w:hAnsi="宋体" w:cs="宋体"/>
                <w:lang w:eastAsia="zh-CN"/>
              </w:rPr>
              <w:t>和</w:t>
            </w:r>
            <w:r>
              <w:rPr>
                <w:rFonts w:ascii="宋体" w:hAnsi="宋体" w:cs="宋体"/>
                <w:lang w:eastAsia="zh-CN"/>
              </w:rPr>
              <w:t>GAMP5</w:t>
            </w:r>
            <w:r>
              <w:rPr>
                <w:rFonts w:hint="eastAsia" w:ascii="宋体" w:hAnsi="宋体" w:cs="宋体"/>
                <w:lang w:eastAsia="zh-CN"/>
              </w:rPr>
              <w:t>等相关法规的评估文件</w:t>
            </w:r>
          </w:p>
          <w:p>
            <w:pPr>
              <w:tabs>
                <w:tab w:val="left" w:pos="4194"/>
              </w:tabs>
              <w:rPr>
                <w:lang w:val="en-US" w:eastAsia="zh-CN"/>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）安装确认及文件（</w:t>
            </w:r>
            <w:r>
              <w:rPr>
                <w:rFonts w:ascii="宋体" w:hAnsi="宋体" w:cs="宋体"/>
                <w:lang w:eastAsia="zh-CN"/>
              </w:rPr>
              <w:t>IQ</w:t>
            </w:r>
            <w:r>
              <w:rPr>
                <w:rFonts w:hint="eastAsia" w:ascii="宋体" w:hAnsi="宋体" w:cs="宋体"/>
                <w:lang w:eastAsia="zh-CN"/>
              </w:rPr>
              <w:t>）；</w:t>
            </w:r>
          </w:p>
          <w:p>
            <w:pPr>
              <w:rPr>
                <w:lang w:eastAsia="zh-CN"/>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）运行确认及文件（</w:t>
            </w:r>
            <w:r>
              <w:rPr>
                <w:rFonts w:ascii="宋体" w:hAnsi="宋体" w:cs="宋体"/>
                <w:lang w:eastAsia="zh-CN"/>
              </w:rPr>
              <w:t>OQ</w:t>
            </w:r>
            <w:r>
              <w:rPr>
                <w:rFonts w:hint="eastAsia" w:ascii="宋体" w:hAnsi="宋体" w:cs="宋体"/>
                <w:lang w:eastAsia="zh-CN"/>
              </w:rPr>
              <w:t>）；</w:t>
            </w:r>
          </w:p>
          <w:p>
            <w:pPr>
              <w:jc w:val="both"/>
              <w:rPr>
                <w:szCs w:val="21"/>
                <w:lang w:eastAsia="zh-CN"/>
              </w:rPr>
            </w:pPr>
            <w:r>
              <w:rPr>
                <w:rFonts w:hint="eastAsia"/>
                <w:color w:val="000000"/>
                <w:lang w:val="en-US" w:eastAsia="zh-CN"/>
              </w:rPr>
              <w:t>（4）</w:t>
            </w:r>
            <w:r>
              <w:rPr>
                <w:rFonts w:hint="eastAsia" w:ascii="宋体" w:hAnsi="宋体" w:cs="宋体"/>
                <w:color w:val="000000"/>
                <w:lang w:eastAsia="zh-CN"/>
              </w:rPr>
              <w:t>设备生产商负责制定</w:t>
            </w:r>
            <w:r>
              <w:rPr>
                <w:rFonts w:hint="eastAsia" w:ascii="宋体" w:hAnsi="宋体" w:cs="宋体"/>
                <w:color w:val="000000"/>
                <w:lang w:val="en-US" w:eastAsia="zh-CN"/>
              </w:rPr>
              <w:t>设备IQ、OQ文件、并在到货前提供流速校验报告。</w:t>
            </w:r>
          </w:p>
        </w:tc>
        <w:tc>
          <w:tcPr>
            <w:tcW w:w="2125" w:type="dxa"/>
            <w:shd w:val="clear" w:color="auto" w:fill="auto"/>
            <w:vAlign w:val="center"/>
          </w:tcPr>
          <w:p>
            <w:pPr>
              <w:jc w:val="center"/>
              <w:rPr>
                <w:color w:val="000000"/>
                <w:lang w:val="en-US" w:eastAsia="zh-CN"/>
              </w:rPr>
            </w:pPr>
            <w:r>
              <w:rPr>
                <w:rFonts w:hint="eastAsia"/>
                <w:szCs w:val="21"/>
                <w:lang w:eastAsia="zh-CN"/>
              </w:rPr>
              <w:t>关键</w:t>
            </w:r>
            <w:r>
              <w:rPr>
                <w:rFonts w:hint="eastAsia"/>
                <w:szCs w:val="21"/>
                <w:lang w:val="en-US" w:eastAsia="zh-CN"/>
              </w:rPr>
              <w:t>*</w:t>
            </w:r>
          </w:p>
        </w:tc>
      </w:tr>
      <w:perm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ind w:left="426" w:firstLine="0" w:firstLineChars="0"/>
              <w:rPr>
                <w:rFonts w:ascii="Times New Roman" w:hAnsi="Times New Roman"/>
                <w:szCs w:val="21"/>
              </w:rPr>
            </w:pPr>
            <w:r>
              <w:rPr>
                <w:rFonts w:hint="eastAsia" w:ascii="Times New Roman" w:hAnsi="Times New Roman"/>
                <w:szCs w:val="21"/>
              </w:rPr>
              <w:t>11.4</w:t>
            </w: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52"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设备保质期从设备验收合格之日起计算。</w:t>
            </w:r>
          </w:p>
        </w:tc>
        <w:tc>
          <w:tcPr>
            <w:tcW w:w="2125" w:type="dxa"/>
            <w:shd w:val="clear" w:color="auto" w:fill="auto"/>
            <w:vAlign w:val="center"/>
          </w:tcPr>
          <w:p>
            <w:pPr>
              <w:jc w:val="center"/>
              <w:rPr>
                <w:szCs w:val="21"/>
                <w:lang w:eastAsia="zh-CN"/>
              </w:rPr>
            </w:pPr>
            <w:r>
              <w:rPr>
                <w:rFonts w:hint="eastAsia"/>
                <w:iCs/>
                <w:szCs w:val="21"/>
                <w:lang w:val="en-US" w:eastAsia="zh-CN"/>
              </w:rPr>
              <w:t>关键</w:t>
            </w:r>
          </w:p>
        </w:tc>
      </w:tr>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53"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设备质保期为一年，一年内免费保修，一年后应提供良好的售后服务。</w:t>
            </w:r>
          </w:p>
        </w:tc>
        <w:tc>
          <w:tcPr>
            <w:tcW w:w="2125" w:type="dxa"/>
            <w:shd w:val="clear" w:color="auto" w:fill="auto"/>
            <w:vAlign w:val="center"/>
          </w:tcPr>
          <w:p>
            <w:pPr>
              <w:jc w:val="center"/>
              <w:rPr>
                <w:szCs w:val="21"/>
                <w:lang w:eastAsia="zh-CN"/>
              </w:rPr>
            </w:pPr>
            <w:r>
              <w:rPr>
                <w:rFonts w:hint="eastAsia"/>
                <w:iCs/>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lang w:eastAsia="zh-CN"/>
              </w:rPr>
            </w:pPr>
            <w:r>
              <w:rPr>
                <w:rFonts w:hint="eastAsia"/>
                <w:szCs w:val="21"/>
                <w:lang w:eastAsia="zh-CN"/>
              </w:rPr>
              <w:t>售后服务必须响应及时，要求设备出现须厂家维修的故障后，应在4小时内明确答复，当电话沟通无法解决时，须48小时内及时派人至现场解决。</w:t>
            </w:r>
          </w:p>
        </w:tc>
        <w:tc>
          <w:tcPr>
            <w:tcW w:w="2125" w:type="dxa"/>
            <w:shd w:val="clear" w:color="auto" w:fill="auto"/>
          </w:tcPr>
          <w:p>
            <w:pPr>
              <w:jc w:val="center"/>
              <w:rPr>
                <w:iCs/>
                <w:szCs w:val="21"/>
                <w:lang w:val="en-US" w:eastAsia="zh-CN"/>
              </w:rPr>
            </w:pPr>
          </w:p>
          <w:p>
            <w:pPr>
              <w:jc w:val="center"/>
              <w:rPr>
                <w:szCs w:val="21"/>
                <w:lang w:eastAsia="zh-CN"/>
              </w:rPr>
            </w:pPr>
            <w:r>
              <w:rPr>
                <w:rFonts w:hint="eastAsia"/>
                <w:iCs/>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lang w:eastAsia="zh-CN"/>
              </w:rPr>
            </w:pPr>
            <w:r>
              <w:rPr>
                <w:rFonts w:hint="eastAsia"/>
                <w:szCs w:val="21"/>
                <w:lang w:eastAsia="zh-CN"/>
              </w:rPr>
              <w:t>一年免费保修期后，厂家应终生提供及时的维修、维护，厂家应定期回访，解决设备运行当中可能出现的疑问，排除潜在故障，使设备保持良好工作状态。</w:t>
            </w:r>
          </w:p>
        </w:tc>
        <w:tc>
          <w:tcPr>
            <w:tcW w:w="2125" w:type="dxa"/>
            <w:shd w:val="clear" w:color="auto" w:fill="auto"/>
          </w:tcPr>
          <w:p>
            <w:pPr>
              <w:jc w:val="center"/>
              <w:rPr>
                <w:iCs/>
                <w:szCs w:val="21"/>
                <w:lang w:val="en-US" w:eastAsia="zh-CN"/>
              </w:rPr>
            </w:pPr>
          </w:p>
          <w:p>
            <w:pPr>
              <w:jc w:val="center"/>
              <w:rPr>
                <w:szCs w:val="21"/>
                <w:lang w:eastAsia="zh-CN"/>
              </w:rPr>
            </w:pPr>
            <w:r>
              <w:rPr>
                <w:rFonts w:hint="eastAsia"/>
                <w:iCs/>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lang w:eastAsia="zh-CN"/>
              </w:rPr>
            </w:pPr>
            <w:r>
              <w:rPr>
                <w:rFonts w:hint="eastAsia"/>
                <w:szCs w:val="21"/>
                <w:lang w:eastAsia="zh-CN"/>
              </w:rPr>
              <w:t>要求设备在签订的合同执行后</w:t>
            </w:r>
            <w:r>
              <w:rPr>
                <w:szCs w:val="21"/>
                <w:lang w:val="en-US" w:eastAsia="zh-CN"/>
              </w:rPr>
              <w:t>1</w:t>
            </w:r>
            <w:r>
              <w:rPr>
                <w:rFonts w:hint="eastAsia"/>
                <w:szCs w:val="21"/>
                <w:lang w:eastAsia="zh-CN"/>
              </w:rPr>
              <w:t>个月内到货。</w:t>
            </w:r>
          </w:p>
        </w:tc>
        <w:tc>
          <w:tcPr>
            <w:tcW w:w="2125" w:type="dxa"/>
            <w:shd w:val="clear" w:color="auto" w:fill="auto"/>
            <w:vAlign w:val="center"/>
          </w:tcPr>
          <w:p>
            <w:pPr>
              <w:jc w:val="center"/>
              <w:rPr>
                <w:szCs w:val="21"/>
                <w:lang w:val="en-US" w:eastAsia="zh-CN"/>
              </w:rPr>
            </w:pPr>
            <w:r>
              <w:rPr>
                <w:rFonts w:hint="eastAsia"/>
                <w:iCs/>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lang w:eastAsia="zh-CN"/>
              </w:rPr>
            </w:pPr>
            <w:r>
              <w:rPr>
                <w:rFonts w:hint="eastAsia"/>
                <w:szCs w:val="21"/>
                <w:lang w:eastAsia="zh-CN"/>
              </w:rPr>
              <w:t>供应商需要配备常见的易耗配件和配套的工具。</w:t>
            </w:r>
          </w:p>
        </w:tc>
        <w:tc>
          <w:tcPr>
            <w:tcW w:w="2125" w:type="dxa"/>
            <w:shd w:val="clear" w:color="auto" w:fill="auto"/>
            <w:vAlign w:val="center"/>
          </w:tcPr>
          <w:p>
            <w:pPr>
              <w:jc w:val="center"/>
              <w:rPr>
                <w:szCs w:val="21"/>
                <w:lang w:eastAsia="zh-CN"/>
              </w:rPr>
            </w:pPr>
            <w:r>
              <w:rPr>
                <w:rFonts w:hint="eastAsia"/>
                <w:iCs/>
                <w:szCs w:val="21"/>
                <w:lang w:val="en-US" w:eastAsia="zh-CN"/>
              </w:rPr>
              <w:t>关键</w:t>
            </w:r>
          </w:p>
        </w:tc>
      </w:tr>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ind w:left="426" w:firstLine="0" w:firstLineChars="0"/>
              <w:rPr>
                <w:rFonts w:ascii="Times New Roman" w:hAnsi="Times New Roman"/>
                <w:szCs w:val="21"/>
              </w:rPr>
            </w:pPr>
            <w:r>
              <w:rPr>
                <w:rFonts w:hint="eastAsia" w:ascii="Times New Roman" w:hAnsi="Times New Roman"/>
                <w:szCs w:val="21"/>
              </w:rPr>
              <w:t>11.5</w:t>
            </w: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54"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货物到达买方使用现场后，由买卖双方共同验收，卖方工程师免费为买方提供调试。</w:t>
            </w:r>
          </w:p>
        </w:tc>
        <w:tc>
          <w:tcPr>
            <w:tcW w:w="2125" w:type="dxa"/>
            <w:shd w:val="clear" w:color="auto" w:fill="auto"/>
            <w:vAlign w:val="center"/>
          </w:tcPr>
          <w:p>
            <w:pPr>
              <w:jc w:val="center"/>
              <w:rPr>
                <w:szCs w:val="21"/>
                <w:lang w:eastAsia="zh-CN"/>
              </w:rPr>
            </w:pPr>
            <w:r>
              <w:rPr>
                <w:rFonts w:hint="eastAsia"/>
                <w:iCs/>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eastAsia="zh-CN"/>
              </w:rPr>
              <w:t>供应商进厂安装需遵守安全和安装规定。</w:t>
            </w:r>
          </w:p>
        </w:tc>
        <w:tc>
          <w:tcPr>
            <w:tcW w:w="2125" w:type="dxa"/>
            <w:shd w:val="clear" w:color="auto" w:fill="auto"/>
            <w:vAlign w:val="center"/>
          </w:tcPr>
          <w:p>
            <w:pPr>
              <w:jc w:val="center"/>
              <w:rPr>
                <w:szCs w:val="21"/>
                <w:lang w:eastAsia="zh-CN"/>
              </w:rPr>
            </w:pPr>
            <w:r>
              <w:rPr>
                <w:rFonts w:hint="eastAsia"/>
                <w:iCs/>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eastAsia="zh-CN"/>
              </w:rPr>
              <w:t>最后验收前必须保证所有的验证工作已完成和达到要求。</w:t>
            </w:r>
          </w:p>
        </w:tc>
        <w:tc>
          <w:tcPr>
            <w:tcW w:w="2125" w:type="dxa"/>
            <w:shd w:val="clear" w:color="auto" w:fill="auto"/>
            <w:vAlign w:val="center"/>
          </w:tcPr>
          <w:p>
            <w:pPr>
              <w:jc w:val="center"/>
              <w:rPr>
                <w:szCs w:val="21"/>
                <w:lang w:eastAsia="zh-CN"/>
              </w:rPr>
            </w:pPr>
            <w:r>
              <w:rPr>
                <w:rFonts w:hint="eastAsia"/>
                <w:iCs/>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eastAsia="zh-CN"/>
              </w:rPr>
              <w:t>确认验收合格应包含所有附件及备件。</w:t>
            </w:r>
          </w:p>
        </w:tc>
        <w:tc>
          <w:tcPr>
            <w:tcW w:w="2125" w:type="dxa"/>
            <w:shd w:val="clear" w:color="auto" w:fill="auto"/>
            <w:vAlign w:val="center"/>
          </w:tcPr>
          <w:p>
            <w:pPr>
              <w:jc w:val="center"/>
              <w:rPr>
                <w:szCs w:val="21"/>
                <w:lang w:eastAsia="zh-CN"/>
              </w:rPr>
            </w:pPr>
            <w:r>
              <w:rPr>
                <w:rFonts w:hint="eastAsia"/>
                <w:iCs/>
                <w:szCs w:val="21"/>
                <w:lang w:val="en-US" w:eastAsia="zh-CN"/>
              </w:rPr>
              <w:t>关键</w:t>
            </w:r>
          </w:p>
        </w:tc>
      </w:tr>
      <w:permEnd w:id="54"/>
    </w:tbl>
    <w:p/>
    <w:p>
      <w:pPr>
        <w:pStyle w:val="32"/>
        <w:numPr>
          <w:ilvl w:val="0"/>
          <w:numId w:val="3"/>
        </w:numPr>
        <w:spacing w:after="158" w:afterLines="50"/>
        <w:ind w:left="426" w:hanging="426" w:hangingChars="202"/>
        <w:outlineLvl w:val="0"/>
        <w:rPr>
          <w:rFonts w:ascii="Times New Roman" w:hAnsi="Times New Roman"/>
          <w:b/>
        </w:rPr>
      </w:pPr>
      <w:bookmarkStart w:id="46" w:name="_Toc522716126"/>
      <w:bookmarkStart w:id="47" w:name="_Toc522107746"/>
      <w:r>
        <w:rPr>
          <w:rFonts w:ascii="Times New Roman" w:hAnsi="Times New Roman"/>
          <w:b/>
        </w:rPr>
        <w:t>附件</w:t>
      </w:r>
      <w:bookmarkEnd w:id="46"/>
      <w:bookmarkEnd w:id="47"/>
    </w:p>
    <w:bookmarkEnd w:id="30"/>
    <w:bookmarkEnd w:id="31"/>
    <w:bookmarkEnd w:id="32"/>
    <w:bookmarkEnd w:id="33"/>
    <w:bookmarkEnd w:id="34"/>
    <w:bookmarkEnd w:id="35"/>
    <w:bookmarkEnd w:id="36"/>
    <w:bookmarkEnd w:id="37"/>
    <w:bookmarkEnd w:id="38"/>
    <w:bookmarkEnd w:id="39"/>
    <w:bookmarkEnd w:id="40"/>
    <w:bookmarkEnd w:id="41"/>
    <w:p>
      <w:pPr>
        <w:pStyle w:val="42"/>
        <w:spacing w:before="0" w:line="360" w:lineRule="auto"/>
        <w:ind w:left="357"/>
        <w:jc w:val="left"/>
        <w:rPr>
          <w:szCs w:val="21"/>
          <w:lang w:eastAsia="zh-CN"/>
        </w:rPr>
      </w:pPr>
      <w:permStart w:id="55" w:edGrp="everyone"/>
      <w:r>
        <w:rPr>
          <w:rFonts w:hint="eastAsia"/>
          <w:szCs w:val="21"/>
          <w:lang w:eastAsia="zh-CN"/>
        </w:rPr>
        <w:t>N/A</w:t>
      </w:r>
      <w:permEnd w:id="55"/>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341CC"/>
    <w:multiLevelType w:val="multilevel"/>
    <w:tmpl w:val="16D341CC"/>
    <w:lvl w:ilvl="0" w:tentative="0">
      <w:start w:val="1"/>
      <w:numFmt w:val="decimal"/>
      <w:lvlText w:val="URS %1"/>
      <w:lvlJc w:val="left"/>
      <w:pPr>
        <w:ind w:left="1413"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6546ED"/>
    <w:multiLevelType w:val="multilevel"/>
    <w:tmpl w:val="686546ED"/>
    <w:lvl w:ilvl="0" w:tentative="0">
      <w:start w:val="1"/>
      <w:numFmt w:val="decimal"/>
      <w:pStyle w:val="38"/>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9"/>
  </w:num>
  <w:num w:numId="3">
    <w:abstractNumId w:val="6"/>
  </w:num>
  <w:num w:numId="4">
    <w:abstractNumId w:val="8"/>
  </w:num>
  <w:num w:numId="5">
    <w:abstractNumId w:val="5"/>
  </w:num>
  <w:num w:numId="6">
    <w:abstractNumId w:val="0"/>
  </w:num>
  <w:num w:numId="7">
    <w:abstractNumId w:val="4"/>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720"/>
  <w:drawingGridHorizontalSpacing w:val="120"/>
  <w:drawingGridVerticalSpacing w:val="158"/>
  <w:displayHorizontalDrawingGridEvery w:val="0"/>
  <w:displayVerticalDrawingGridEvery w:val="0"/>
  <w:characterSpacingControl w:val="doNotCompress"/>
  <w:compat>
    <w:useFELayout/>
    <w:compatSetting w:name="compatibilityMode" w:uri="http://schemas.microsoft.com/office/word" w:val="12"/>
  </w:compat>
  <w:docVars>
    <w:docVar w:name="commondata" w:val="eyJoZGlkIjoiNTgyY2RmZGM4NTI3YzU2NzljNjcwNDM3ODliODQ0ZDcifQ=="/>
  </w:docVars>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080F"/>
    <w:rsid w:val="00071DD4"/>
    <w:rsid w:val="00072131"/>
    <w:rsid w:val="00072340"/>
    <w:rsid w:val="00072945"/>
    <w:rsid w:val="00073B81"/>
    <w:rsid w:val="0007510F"/>
    <w:rsid w:val="0007673E"/>
    <w:rsid w:val="00077AE1"/>
    <w:rsid w:val="00080875"/>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49E7"/>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A2C"/>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68C6"/>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4E74"/>
    <w:rsid w:val="002355FF"/>
    <w:rsid w:val="002367A6"/>
    <w:rsid w:val="00236BE9"/>
    <w:rsid w:val="00237E6C"/>
    <w:rsid w:val="00240A09"/>
    <w:rsid w:val="00240B1E"/>
    <w:rsid w:val="00241437"/>
    <w:rsid w:val="00245088"/>
    <w:rsid w:val="002450D5"/>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638C"/>
    <w:rsid w:val="0029741F"/>
    <w:rsid w:val="00297DDC"/>
    <w:rsid w:val="002A18C8"/>
    <w:rsid w:val="002A42F8"/>
    <w:rsid w:val="002A547B"/>
    <w:rsid w:val="002A588E"/>
    <w:rsid w:val="002A65DA"/>
    <w:rsid w:val="002A7980"/>
    <w:rsid w:val="002B0A7C"/>
    <w:rsid w:val="002B14F3"/>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37C56"/>
    <w:rsid w:val="0034199A"/>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37A"/>
    <w:rsid w:val="003B4A5D"/>
    <w:rsid w:val="003B5047"/>
    <w:rsid w:val="003B6E29"/>
    <w:rsid w:val="003B726F"/>
    <w:rsid w:val="003B73AB"/>
    <w:rsid w:val="003C02C6"/>
    <w:rsid w:val="003C03D7"/>
    <w:rsid w:val="003C0712"/>
    <w:rsid w:val="003C558E"/>
    <w:rsid w:val="003C6ECF"/>
    <w:rsid w:val="003C73BC"/>
    <w:rsid w:val="003D0847"/>
    <w:rsid w:val="003D2243"/>
    <w:rsid w:val="003D3C09"/>
    <w:rsid w:val="003D3C65"/>
    <w:rsid w:val="003D464A"/>
    <w:rsid w:val="003D4EFF"/>
    <w:rsid w:val="003D5F4A"/>
    <w:rsid w:val="003D662C"/>
    <w:rsid w:val="003D77E5"/>
    <w:rsid w:val="003E49F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6C34"/>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657"/>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3F98"/>
    <w:rsid w:val="004A41C9"/>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896"/>
    <w:rsid w:val="004D0E3A"/>
    <w:rsid w:val="004D1655"/>
    <w:rsid w:val="004D1A73"/>
    <w:rsid w:val="004D48C2"/>
    <w:rsid w:val="004D62DC"/>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259D7"/>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D6A0E"/>
    <w:rsid w:val="005E0CEB"/>
    <w:rsid w:val="005E2725"/>
    <w:rsid w:val="005E65FA"/>
    <w:rsid w:val="005F19CE"/>
    <w:rsid w:val="005F28F4"/>
    <w:rsid w:val="005F43A2"/>
    <w:rsid w:val="005F43BB"/>
    <w:rsid w:val="005F503E"/>
    <w:rsid w:val="005F6CB3"/>
    <w:rsid w:val="005F7612"/>
    <w:rsid w:val="005F7663"/>
    <w:rsid w:val="005F7D63"/>
    <w:rsid w:val="006006B4"/>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D80"/>
    <w:rsid w:val="00673EB3"/>
    <w:rsid w:val="00680BE8"/>
    <w:rsid w:val="00686409"/>
    <w:rsid w:val="00686D19"/>
    <w:rsid w:val="0068777F"/>
    <w:rsid w:val="00693018"/>
    <w:rsid w:val="006A0059"/>
    <w:rsid w:val="006A7425"/>
    <w:rsid w:val="006B058A"/>
    <w:rsid w:val="006B1299"/>
    <w:rsid w:val="006B26D9"/>
    <w:rsid w:val="006B2856"/>
    <w:rsid w:val="006B310C"/>
    <w:rsid w:val="006B3653"/>
    <w:rsid w:val="006B664C"/>
    <w:rsid w:val="006C1125"/>
    <w:rsid w:val="006C1C83"/>
    <w:rsid w:val="006C3E78"/>
    <w:rsid w:val="006C4EF1"/>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5A6B"/>
    <w:rsid w:val="00736FFB"/>
    <w:rsid w:val="00740080"/>
    <w:rsid w:val="00741A30"/>
    <w:rsid w:val="007504DC"/>
    <w:rsid w:val="0075142F"/>
    <w:rsid w:val="00751965"/>
    <w:rsid w:val="007524EF"/>
    <w:rsid w:val="00752689"/>
    <w:rsid w:val="00753582"/>
    <w:rsid w:val="00756D1D"/>
    <w:rsid w:val="00760886"/>
    <w:rsid w:val="007615CA"/>
    <w:rsid w:val="00761ADD"/>
    <w:rsid w:val="00762B3A"/>
    <w:rsid w:val="00765D6E"/>
    <w:rsid w:val="00765D7E"/>
    <w:rsid w:val="007674B6"/>
    <w:rsid w:val="00770E90"/>
    <w:rsid w:val="00772C42"/>
    <w:rsid w:val="0077302F"/>
    <w:rsid w:val="007731C1"/>
    <w:rsid w:val="00773661"/>
    <w:rsid w:val="00774A61"/>
    <w:rsid w:val="00774E08"/>
    <w:rsid w:val="00774E72"/>
    <w:rsid w:val="0077746F"/>
    <w:rsid w:val="007775FE"/>
    <w:rsid w:val="00780A5F"/>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2813"/>
    <w:rsid w:val="0081636E"/>
    <w:rsid w:val="0082112E"/>
    <w:rsid w:val="00822F2B"/>
    <w:rsid w:val="00823D9A"/>
    <w:rsid w:val="00827EA4"/>
    <w:rsid w:val="008301D6"/>
    <w:rsid w:val="00830280"/>
    <w:rsid w:val="008305B7"/>
    <w:rsid w:val="00830C78"/>
    <w:rsid w:val="00830FB9"/>
    <w:rsid w:val="00834968"/>
    <w:rsid w:val="00834B53"/>
    <w:rsid w:val="00840298"/>
    <w:rsid w:val="00841BE4"/>
    <w:rsid w:val="00845A53"/>
    <w:rsid w:val="00847E8C"/>
    <w:rsid w:val="008505E1"/>
    <w:rsid w:val="00850B08"/>
    <w:rsid w:val="00850B19"/>
    <w:rsid w:val="00852488"/>
    <w:rsid w:val="0085405E"/>
    <w:rsid w:val="008561D2"/>
    <w:rsid w:val="008571DD"/>
    <w:rsid w:val="0085772E"/>
    <w:rsid w:val="00860344"/>
    <w:rsid w:val="00860E2C"/>
    <w:rsid w:val="00864BC6"/>
    <w:rsid w:val="0086516D"/>
    <w:rsid w:val="00865EE6"/>
    <w:rsid w:val="00870D23"/>
    <w:rsid w:val="00872B72"/>
    <w:rsid w:val="00873022"/>
    <w:rsid w:val="00876468"/>
    <w:rsid w:val="008767E1"/>
    <w:rsid w:val="00876CC7"/>
    <w:rsid w:val="008823E4"/>
    <w:rsid w:val="008837C4"/>
    <w:rsid w:val="008849F3"/>
    <w:rsid w:val="00884E78"/>
    <w:rsid w:val="00885D6E"/>
    <w:rsid w:val="0088673B"/>
    <w:rsid w:val="00886F58"/>
    <w:rsid w:val="00887265"/>
    <w:rsid w:val="00887500"/>
    <w:rsid w:val="008905AD"/>
    <w:rsid w:val="00890C6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1A2E"/>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33A4"/>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10CE"/>
    <w:rsid w:val="00955899"/>
    <w:rsid w:val="00955A03"/>
    <w:rsid w:val="0096203D"/>
    <w:rsid w:val="0096224A"/>
    <w:rsid w:val="00963289"/>
    <w:rsid w:val="00964A78"/>
    <w:rsid w:val="009656B4"/>
    <w:rsid w:val="009666E0"/>
    <w:rsid w:val="00966CA0"/>
    <w:rsid w:val="00966D74"/>
    <w:rsid w:val="00967F9D"/>
    <w:rsid w:val="00970275"/>
    <w:rsid w:val="00970ABF"/>
    <w:rsid w:val="00970D8B"/>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6A01"/>
    <w:rsid w:val="00987177"/>
    <w:rsid w:val="00987F11"/>
    <w:rsid w:val="0099128D"/>
    <w:rsid w:val="009917F1"/>
    <w:rsid w:val="00991E37"/>
    <w:rsid w:val="00991E74"/>
    <w:rsid w:val="009926A6"/>
    <w:rsid w:val="00993461"/>
    <w:rsid w:val="0099415E"/>
    <w:rsid w:val="009948BF"/>
    <w:rsid w:val="00997844"/>
    <w:rsid w:val="009978C2"/>
    <w:rsid w:val="009A345F"/>
    <w:rsid w:val="009A4AE5"/>
    <w:rsid w:val="009A5218"/>
    <w:rsid w:val="009A6806"/>
    <w:rsid w:val="009B1717"/>
    <w:rsid w:val="009B22D2"/>
    <w:rsid w:val="009B2839"/>
    <w:rsid w:val="009B4009"/>
    <w:rsid w:val="009B4C17"/>
    <w:rsid w:val="009B4F4E"/>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56AD"/>
    <w:rsid w:val="009E6973"/>
    <w:rsid w:val="009F0466"/>
    <w:rsid w:val="009F4200"/>
    <w:rsid w:val="009F4933"/>
    <w:rsid w:val="009F5FD0"/>
    <w:rsid w:val="009F6DD5"/>
    <w:rsid w:val="009F7519"/>
    <w:rsid w:val="009F7969"/>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5995"/>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225A"/>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56A6A"/>
    <w:rsid w:val="00B62FB6"/>
    <w:rsid w:val="00B635BF"/>
    <w:rsid w:val="00B7050A"/>
    <w:rsid w:val="00B70904"/>
    <w:rsid w:val="00B70A42"/>
    <w:rsid w:val="00B74791"/>
    <w:rsid w:val="00B76AF9"/>
    <w:rsid w:val="00B8115B"/>
    <w:rsid w:val="00B81AE2"/>
    <w:rsid w:val="00B82D30"/>
    <w:rsid w:val="00B87F62"/>
    <w:rsid w:val="00B90831"/>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5E0"/>
    <w:rsid w:val="00C04DA5"/>
    <w:rsid w:val="00C050FC"/>
    <w:rsid w:val="00C05D40"/>
    <w:rsid w:val="00C11905"/>
    <w:rsid w:val="00C14462"/>
    <w:rsid w:val="00C16542"/>
    <w:rsid w:val="00C22382"/>
    <w:rsid w:val="00C2355B"/>
    <w:rsid w:val="00C274A6"/>
    <w:rsid w:val="00C33F9C"/>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6F88"/>
    <w:rsid w:val="00C57A9A"/>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4ECC"/>
    <w:rsid w:val="00C950D6"/>
    <w:rsid w:val="00C97646"/>
    <w:rsid w:val="00C97672"/>
    <w:rsid w:val="00CA55BD"/>
    <w:rsid w:val="00CB0837"/>
    <w:rsid w:val="00CB2BFA"/>
    <w:rsid w:val="00CB3318"/>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7528"/>
    <w:rsid w:val="00D602CA"/>
    <w:rsid w:val="00D60DD8"/>
    <w:rsid w:val="00D6278D"/>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EE6"/>
    <w:rsid w:val="00DE77EA"/>
    <w:rsid w:val="00DF0ABA"/>
    <w:rsid w:val="00DF1EEE"/>
    <w:rsid w:val="00DF6C58"/>
    <w:rsid w:val="00E001C1"/>
    <w:rsid w:val="00E039F3"/>
    <w:rsid w:val="00E03C30"/>
    <w:rsid w:val="00E078BD"/>
    <w:rsid w:val="00E078F8"/>
    <w:rsid w:val="00E1142B"/>
    <w:rsid w:val="00E11F10"/>
    <w:rsid w:val="00E14739"/>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B6B"/>
    <w:rsid w:val="00E63D8F"/>
    <w:rsid w:val="00E706B6"/>
    <w:rsid w:val="00E76FF1"/>
    <w:rsid w:val="00E774FE"/>
    <w:rsid w:val="00E809A0"/>
    <w:rsid w:val="00E80AF7"/>
    <w:rsid w:val="00E84407"/>
    <w:rsid w:val="00E85E54"/>
    <w:rsid w:val="00E86146"/>
    <w:rsid w:val="00E86A76"/>
    <w:rsid w:val="00E87A90"/>
    <w:rsid w:val="00E904D1"/>
    <w:rsid w:val="00E92425"/>
    <w:rsid w:val="00E92AD3"/>
    <w:rsid w:val="00E93F4A"/>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2CD6"/>
    <w:rsid w:val="00F54F27"/>
    <w:rsid w:val="00F55FC8"/>
    <w:rsid w:val="00F604E3"/>
    <w:rsid w:val="00F610E6"/>
    <w:rsid w:val="00F61FCC"/>
    <w:rsid w:val="00F66036"/>
    <w:rsid w:val="00F6689D"/>
    <w:rsid w:val="00F67E23"/>
    <w:rsid w:val="00F71601"/>
    <w:rsid w:val="00F72C75"/>
    <w:rsid w:val="00F72CA9"/>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4EE"/>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26B3EC6"/>
    <w:rsid w:val="039E4A64"/>
    <w:rsid w:val="074446F5"/>
    <w:rsid w:val="079237B0"/>
    <w:rsid w:val="12B409FA"/>
    <w:rsid w:val="1494275F"/>
    <w:rsid w:val="1B522958"/>
    <w:rsid w:val="1F71514E"/>
    <w:rsid w:val="20FB3DB9"/>
    <w:rsid w:val="21B26104"/>
    <w:rsid w:val="22623FCE"/>
    <w:rsid w:val="23704C46"/>
    <w:rsid w:val="23C606C4"/>
    <w:rsid w:val="24EF141E"/>
    <w:rsid w:val="27B746CF"/>
    <w:rsid w:val="29CE5AA6"/>
    <w:rsid w:val="2DE93E0D"/>
    <w:rsid w:val="2E803DC5"/>
    <w:rsid w:val="2FE9354C"/>
    <w:rsid w:val="318D4877"/>
    <w:rsid w:val="369F1ED9"/>
    <w:rsid w:val="36B75A4D"/>
    <w:rsid w:val="36E83F1F"/>
    <w:rsid w:val="375A12C0"/>
    <w:rsid w:val="38FA77B3"/>
    <w:rsid w:val="39C60BF3"/>
    <w:rsid w:val="3DAA68EE"/>
    <w:rsid w:val="3EFD0A63"/>
    <w:rsid w:val="428C6809"/>
    <w:rsid w:val="44C23E80"/>
    <w:rsid w:val="46E21168"/>
    <w:rsid w:val="4DCF7084"/>
    <w:rsid w:val="4E665F78"/>
    <w:rsid w:val="4ED47135"/>
    <w:rsid w:val="4F4379F9"/>
    <w:rsid w:val="516C54C7"/>
    <w:rsid w:val="51D5415B"/>
    <w:rsid w:val="543C16DA"/>
    <w:rsid w:val="568C2E19"/>
    <w:rsid w:val="582F3E2B"/>
    <w:rsid w:val="619C4100"/>
    <w:rsid w:val="6253659F"/>
    <w:rsid w:val="660B1854"/>
    <w:rsid w:val="6E2711F5"/>
    <w:rsid w:val="73852C46"/>
    <w:rsid w:val="73970283"/>
    <w:rsid w:val="748C0004"/>
    <w:rsid w:val="76E30831"/>
    <w:rsid w:val="78D708BB"/>
    <w:rsid w:val="78E63C9B"/>
    <w:rsid w:val="7DA642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3"/>
    <w:semiHidden/>
    <w:qFormat/>
    <w:uiPriority w:val="0"/>
  </w:style>
  <w:style w:type="paragraph" w:styleId="7">
    <w:name w:val="Body Text 3"/>
    <w:basedOn w:val="1"/>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5"/>
    <w:qFormat/>
    <w:uiPriority w:val="99"/>
    <w:pPr>
      <w:tabs>
        <w:tab w:val="center" w:pos="4320"/>
        <w:tab w:val="right" w:pos="8640"/>
      </w:tabs>
    </w:pPr>
  </w:style>
  <w:style w:type="paragraph" w:styleId="14">
    <w:name w:val="header"/>
    <w:basedOn w:val="1"/>
    <w:link w:val="27"/>
    <w:qFormat/>
    <w:uiPriority w:val="0"/>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Normal (Web)"/>
    <w:basedOn w:val="1"/>
    <w:unhideWhenUsed/>
    <w:qFormat/>
    <w:uiPriority w:val="0"/>
    <w:rPr>
      <w:sz w:val="24"/>
    </w:rPr>
  </w:style>
  <w:style w:type="paragraph" w:styleId="18">
    <w:name w:val="Title"/>
    <w:basedOn w:val="1"/>
    <w:next w:val="1"/>
    <w:link w:val="45"/>
    <w:qFormat/>
    <w:uiPriority w:val="0"/>
    <w:pPr>
      <w:spacing w:before="240" w:after="60"/>
      <w:jc w:val="center"/>
      <w:outlineLvl w:val="0"/>
    </w:pPr>
    <w:rPr>
      <w:rFonts w:ascii="Calibri Light" w:hAnsi="Calibri Light"/>
      <w:b/>
      <w:bCs/>
      <w:sz w:val="32"/>
      <w:szCs w:val="32"/>
    </w:rPr>
  </w:style>
  <w:style w:type="paragraph" w:styleId="19">
    <w:name w:val="annotation subject"/>
    <w:basedOn w:val="6"/>
    <w:next w:val="6"/>
    <w:semiHidden/>
    <w:qFormat/>
    <w:uiPriority w:val="0"/>
    <w:rPr>
      <w:b/>
      <w:bCs/>
    </w:rPr>
  </w:style>
  <w:style w:type="table" w:styleId="21">
    <w:name w:val="Table Grid"/>
    <w:basedOn w:val="20"/>
    <w:qFormat/>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semiHidden/>
    <w:qFormat/>
    <w:uiPriority w:val="0"/>
    <w:rPr>
      <w:sz w:val="21"/>
      <w:szCs w:val="21"/>
    </w:rPr>
  </w:style>
  <w:style w:type="paragraph" w:customStyle="1" w:styleId="26">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7">
    <w:name w:val="页眉 Char"/>
    <w:link w:val="14"/>
    <w:qFormat/>
    <w:uiPriority w:val="0"/>
    <w:rPr>
      <w:rFonts w:eastAsia="宋体"/>
      <w:sz w:val="24"/>
      <w:lang w:val="en-GB" w:eastAsia="en-US" w:bidi="ar-SA"/>
    </w:rPr>
  </w:style>
  <w:style w:type="paragraph" w:customStyle="1" w:styleId="28">
    <w:name w:val="Default Text"/>
    <w:basedOn w:val="1"/>
    <w:qFormat/>
    <w:uiPriority w:val="0"/>
    <w:pPr>
      <w:overflowPunct/>
      <w:textAlignment w:val="auto"/>
    </w:pPr>
    <w:rPr>
      <w:rFonts w:ascii="Arial" w:hAnsi="Arial"/>
      <w:szCs w:val="24"/>
      <w:lang w:val="en-US"/>
    </w:rPr>
  </w:style>
  <w:style w:type="paragraph" w:customStyle="1" w:styleId="29">
    <w:name w:val="Style"/>
    <w:basedOn w:val="1"/>
    <w:qFormat/>
    <w:uiPriority w:val="0"/>
    <w:pPr>
      <w:overflowPunct/>
      <w:textAlignment w:val="auto"/>
    </w:pPr>
    <w:rPr>
      <w:rFonts w:ascii="Arial" w:hAnsi="Arial"/>
      <w:szCs w:val="24"/>
      <w:lang w:val="en-US"/>
    </w:rPr>
  </w:style>
  <w:style w:type="paragraph" w:customStyle="1" w:styleId="30">
    <w:name w:val="正文1"/>
    <w:basedOn w:val="1"/>
    <w:qFormat/>
    <w:uiPriority w:val="0"/>
    <w:pPr>
      <w:overflowPunct/>
      <w:textAlignment w:val="auto"/>
    </w:pPr>
    <w:rPr>
      <w:rFonts w:ascii="Arial" w:hAnsi="Arial"/>
      <w:sz w:val="20"/>
      <w:lang w:val="en-US"/>
    </w:rPr>
  </w:style>
  <w:style w:type="paragraph" w:customStyle="1" w:styleId="31">
    <w:name w:val="修订1"/>
    <w:hidden/>
    <w:semiHidden/>
    <w:qFormat/>
    <w:uiPriority w:val="99"/>
    <w:rPr>
      <w:rFonts w:ascii="Times New Roman" w:hAnsi="Times New Roman" w:eastAsia="宋体" w:cs="Times New Roman"/>
      <w:sz w:val="24"/>
      <w:lang w:val="en-GB" w:eastAsia="en-US" w:bidi="ar-SA"/>
    </w:rPr>
  </w:style>
  <w:style w:type="paragraph" w:styleId="32">
    <w:name w:val="List Paragraph"/>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3">
    <w:name w:val="批注文字 Char"/>
    <w:link w:val="6"/>
    <w:semiHidden/>
    <w:qFormat/>
    <w:uiPriority w:val="0"/>
    <w:rPr>
      <w:sz w:val="24"/>
      <w:lang w:val="en-GB" w:eastAsia="en-US"/>
    </w:rPr>
  </w:style>
  <w:style w:type="paragraph" w:customStyle="1" w:styleId="34">
    <w:name w:val="TOC 标题1"/>
    <w:basedOn w:val="2"/>
    <w:next w:val="1"/>
    <w:qFormat/>
    <w:uiPriority w:val="39"/>
    <w:pPr>
      <w:numPr>
        <w:numId w:val="0"/>
      </w:numPr>
      <w:outlineLvl w:val="9"/>
    </w:pPr>
  </w:style>
  <w:style w:type="character" w:customStyle="1" w:styleId="35">
    <w:name w:val="页脚 Char"/>
    <w:link w:val="13"/>
    <w:qFormat/>
    <w:uiPriority w:val="99"/>
    <w:rPr>
      <w:sz w:val="24"/>
      <w:lang w:val="en-GB" w:eastAsia="en-US"/>
    </w:rPr>
  </w:style>
  <w:style w:type="character" w:customStyle="1" w:styleId="36">
    <w:name w:val="instruction standard blue"/>
    <w:qFormat/>
    <w:uiPriority w:val="1"/>
    <w:rPr>
      <w:rFonts w:cs="Arial"/>
      <w:i/>
      <w:color w:val="0070C0"/>
    </w:rPr>
  </w:style>
  <w:style w:type="character" w:customStyle="1" w:styleId="37">
    <w:name w:val="keyword"/>
    <w:basedOn w:val="22"/>
    <w:qFormat/>
    <w:uiPriority w:val="0"/>
  </w:style>
  <w:style w:type="paragraph" w:customStyle="1" w:styleId="38">
    <w:name w:val="numbering blue"/>
    <w:basedOn w:val="1"/>
    <w:link w:val="39"/>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9">
    <w:name w:val="numbering blue Zchn"/>
    <w:link w:val="38"/>
    <w:qFormat/>
    <w:uiPriority w:val="0"/>
    <w:rPr>
      <w:rFonts w:ascii="Arial" w:hAnsi="Arial" w:eastAsia="PMingLiU"/>
      <w:color w:val="0070C0"/>
      <w:lang w:eastAsia="zh-TW"/>
    </w:rPr>
  </w:style>
  <w:style w:type="paragraph" w:customStyle="1" w:styleId="40">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1">
    <w:name w:val="Text Char"/>
    <w:link w:val="42"/>
    <w:qFormat/>
    <w:locked/>
    <w:uiPriority w:val="99"/>
    <w:rPr>
      <w:sz w:val="24"/>
      <w:lang w:eastAsia="en-US"/>
    </w:rPr>
  </w:style>
  <w:style w:type="paragraph" w:customStyle="1" w:styleId="42">
    <w:name w:val="Text"/>
    <w:basedOn w:val="1"/>
    <w:link w:val="41"/>
    <w:qFormat/>
    <w:uiPriority w:val="99"/>
    <w:pPr>
      <w:overflowPunct/>
      <w:autoSpaceDE/>
      <w:autoSpaceDN/>
      <w:adjustRightInd/>
      <w:spacing w:before="120"/>
      <w:jc w:val="both"/>
      <w:textAlignment w:val="auto"/>
    </w:pPr>
    <w:rPr>
      <w:lang w:val="en-US"/>
    </w:rPr>
  </w:style>
  <w:style w:type="character" w:customStyle="1" w:styleId="43">
    <w:name w:val="ordinary-span-edit2"/>
    <w:qFormat/>
    <w:uiPriority w:val="0"/>
  </w:style>
  <w:style w:type="character" w:customStyle="1" w:styleId="44">
    <w:name w:val="apple-converted-space"/>
    <w:basedOn w:val="22"/>
    <w:qFormat/>
    <w:uiPriority w:val="0"/>
  </w:style>
  <w:style w:type="character" w:customStyle="1" w:styleId="45">
    <w:name w:val="标题 Char"/>
    <w:link w:val="18"/>
    <w:qFormat/>
    <w:uiPriority w:val="0"/>
    <w:rPr>
      <w:rFonts w:ascii="Calibri Light" w:hAnsi="Calibri Light" w:cs="Times New Roman"/>
      <w:b/>
      <w:bCs/>
      <w:sz w:val="32"/>
      <w:szCs w:val="32"/>
      <w:lang w:val="en-GB" w:eastAsia="en-US"/>
    </w:rPr>
  </w:style>
  <w:style w:type="paragraph" w:customStyle="1" w:styleId="46">
    <w:name w:val="Table text"/>
    <w:basedOn w:val="1"/>
    <w:qFormat/>
    <w:uiPriority w:val="99"/>
    <w:pPr>
      <w:overflowPunct/>
      <w:autoSpaceDE/>
      <w:autoSpaceDN/>
      <w:adjustRightInd/>
      <w:spacing w:before="120" w:after="120"/>
      <w:jc w:val="both"/>
      <w:textAlignment w:val="auto"/>
    </w:pPr>
    <w:rPr>
      <w:lang w:val="en-US"/>
    </w:rPr>
  </w:style>
  <w:style w:type="character" w:customStyle="1" w:styleId="47">
    <w:name w:val="Footer Char"/>
    <w:basedOn w:val="22"/>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759</Words>
  <Characters>4327</Characters>
  <Lines>36</Lines>
  <Paragraphs>10</Paragraphs>
  <TotalTime>19</TotalTime>
  <ScaleCrop>false</ScaleCrop>
  <LinksUpToDate>false</LinksUpToDate>
  <CharactersWithSpaces>5076</CharactersWithSpaces>
  <Application>WPS Office_11.8.2.10229_F1E327BC-269C-435d-A152-05C5408002CA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2018-12-24T07:58:00Z</dcterms:created>
  <dc:creator>Lilly</dc:creator>
  <cp:lastModifiedBy>汪洋</cp:lastModifiedBy>
  <cp:lastPrinted>2023-03-15T05:19:00Z</cp:lastPrinted>
  <dcterms:modified xsi:type="dcterms:W3CDTF">2023-07-14T07:51:07Z</dcterms:modified>
  <dc:title>生效期：</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9950A78E505445F4B297BEA9F7AE0F39</vt:lpwstr>
  </property>
</Properties>
</file>